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Gesamtstrategie und Zeitachse: Alle Parallelverfahren</w:t>
      </w:r>
    </w:p>
    <w:p>
      <w:pPr>
        <w:jc w:val="left"/>
      </w:pPr>
      <w:r>
        <w:rPr>
          <w:b/>
        </w:rPr>
        <w:t>Bearbeiter:</w:t>
      </w:r>
      <w:r>
        <w:t xml:space="preserve"> PA Dr. Volkmar Trautmann / RA Philipp Mertens-Waldhausen</w:t>
      </w:r>
    </w:p>
    <w:p>
      <w:pPr>
        <w:jc w:val="left"/>
      </w:pPr>
      <w:r>
        <w:rPr>
          <w:b/>
        </w:rPr>
        <w:t>Datum:</w:t>
      </w:r>
      <w:r>
        <w:t xml:space="preserve"> 02. Juli 2026</w:t>
      </w:r>
    </w:p>
    <w:p>
      <w:pPr>
        <w:jc w:val="left"/>
      </w:pPr>
      <w:r>
        <w:rPr>
          <w:b/>
        </w:rPr>
        <w:t>Für:</w:t>
      </w:r>
      <w:r>
        <w:t xml:space="preserve"> Reinhilde Leichtenstein-Bauernfeind, GF Leichtenstein Gartenkultur Manufaktur GmbH</w:t>
      </w:r>
    </w:p>
    <w:p/>
    <w:p>
      <w:pPr>
        <w:pStyle w:val="Heading2"/>
      </w:pPr>
      <w:r>
        <w:rPr>
          <w:rFonts w:ascii="Times New Roman" w:hAnsi="Times New Roman"/>
        </w:rPr>
        <w:t>1. Gesamtüberblick der Parallelverfahren</w:t>
      </w:r>
    </w:p>
    <w:p>
      <w:pPr>
        <w:jc w:val="left"/>
      </w:pPr>
      <w:r>
        <w:t>Die Mandantin ist gegenwärtig in sechs parallelen Rechtsstreitigkeiten involviert. Die folgende Übersicht dient als Basis für das strategische Lagebild: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Markenverletzung FlowerWorld — LG Mannheim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Vergleichsverhandlungen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EUIPO Nichtigkeitsantrag Marke (Bouqart)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BoA R 1322/26-2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Beschwerdegegenschrift eingereicht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EUIPO Nichtigkeitsantrag Geschmacksmuster (Bouqart)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ICD 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in Vorbereitung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UWG gegen RosenGarten24.de — OLG Karlsruhe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U 41/26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Berufungsverhandlung 22.10.2026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Lizenzstreit Fonderie Roussel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Vergleichsverhandlungen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Domain-Streit rosenmanufaktur.de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DENIC Dispute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Dispute-Eintrag erfolgt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Zeitachse — Meilensteine Juli bis Dezember 2026</w:t>
      </w:r>
    </w:p>
    <w:p>
      <w:pPr>
        <w:pStyle w:val="Heading3"/>
      </w:pPr>
      <w:r>
        <w:rPr>
          <w:rFonts w:ascii="Times New Roman" w:hAnsi="Times New Roman"/>
        </w:rPr>
        <w:t>Juli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LG Mannheim (Widerspruchsverhandlung eV + Hauptsache) — ggf. erübrigt durch Vergleich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Beschwerdegegenschrift EUIPO (Frist: 15.07.2026)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BoA R 1322/26-2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Geplante Unterzeichnung Vergleich FlowerWorld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Schriftsatzfrist EUIPO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BoA R 1322/26-2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Lieferung Sachverständigengutachten Stein-Weitmann (Vintage-Katalog)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Geschmacksmuster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Vergleichsangebot an Fonderie Roussel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Lizenzstreit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Rate Schadensersatz FlowerWorld fällig (14.000 EUR, falls Vergleich zustande)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Vernichtungsnachweis FlowerWorld fällig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Geschmacksmuster-Nichtigkeitsverfahren (Frist EUIPO)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Geschmacksmuster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Oktober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Berufungsverhandlung OLG Karlsruhe 6 U 41/26 (UWG RosenGarten24)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U 41/26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Oktober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Erwartete EUIPO-BoA-Entscheidung (R 1322/26-2) — frühestens, eher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BoA R 1322/26-2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November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Rate Schadensersatz FlowerWorld fällig (14.000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O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Mögliche Entscheidung OLG Karlsruhe (UWG)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U 41/26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Strategische Prioritäten</w:t>
      </w:r>
    </w:p>
    <w:p>
      <w:pPr>
        <w:pStyle w:val="Heading3"/>
      </w:pPr>
      <w:r>
        <w:rPr>
          <w:rFonts w:ascii="Times New Roman" w:hAnsi="Times New Roman"/>
        </w:rPr>
        <w:t>3.1 Priorität 1: Vergleich FlowerWorld abschließen</w:t>
      </w:r>
    </w:p>
    <w:p>
      <w:pPr>
        <w:jc w:val="left"/>
      </w:pPr>
      <w:r>
        <w:t>Der Vergleich mit FlowerWorld ist das wichtigste operative Ziel. Er sichert:</w:t>
      </w:r>
    </w:p>
    <w:p>
      <w:pPr>
        <w:pStyle w:val="ListBullet"/>
      </w:pPr>
      <w:r>
        <w:t>Dauerhaftes Unterlassen durch den größten aktuellen Verletzer</w:t>
      </w:r>
    </w:p>
    <w:p>
      <w:pPr>
        <w:pStyle w:val="ListBullet"/>
      </w:pPr>
      <w:r>
        <w:t>Vernichtung von ca. 18.000 Exemplaren aus dem Markt</w:t>
      </w:r>
    </w:p>
    <w:p>
      <w:pPr>
        <w:pStyle w:val="ListBullet"/>
      </w:pPr>
      <w:r>
        <w:t>Liquiditätszufluss von 28.000 EUR</w:t>
      </w:r>
    </w:p>
    <w:p>
      <w:pPr>
        <w:jc w:val="left"/>
      </w:pPr>
      <w:r>
        <w:rPr>
          <w:b/>
        </w:rPr>
        <w:t>Risiko:</w:t>
      </w:r>
      <w:r>
        <w:t xml:space="preserve"> Scheitert der Vergleich, ist der Termin am 08. Juli 2026 die entscheidende gerichtliche Auseinandersetzung. Der Ausgang des Widerspruchsverfahrens ist nach Einschätzung der Kanzlei für die Klägerin positiv.</w:t>
      </w:r>
    </w:p>
    <w:p>
      <w:pPr>
        <w:pStyle w:val="Heading3"/>
      </w:pPr>
      <w:r>
        <w:rPr>
          <w:rFonts w:ascii="Times New Roman" w:hAnsi="Times New Roman"/>
        </w:rPr>
        <w:t>3.2 Priorität 2: EUIPO-Beschwerdeverfahren</w:t>
      </w:r>
    </w:p>
    <w:p>
      <w:pPr>
        <w:jc w:val="left"/>
      </w:pPr>
      <w:r>
        <w:t>Das EUIPO-Beschwerdeverfahren R 1322/26-2 ist die wichtigste strategische Frage für den mittelfristigen Bestand des Schutzrechtsportfolios. Ein Verlust der EU-3D-Marke würde die Position gegenüber allen aktuellen und künftigen Verletzern erheblich schwächen.</w:t>
      </w:r>
    </w:p>
    <w:p>
      <w:pPr>
        <w:jc w:val="left"/>
      </w:pPr>
      <w:r>
        <w:t>Die Beschwerdegegenschrift ist stark; der hilfsweise Nachweis der Verkehrsdurchsetzung (GfK-Gutachten, 34 % korrekte Herkunftszuordnung) gibt ein robustes Rückfallnetz.</w:t>
      </w:r>
    </w:p>
    <w:p>
      <w:pPr>
        <w:pStyle w:val="Heading3"/>
      </w:pPr>
      <w:r>
        <w:rPr>
          <w:rFonts w:ascii="Times New Roman" w:hAnsi="Times New Roman"/>
        </w:rPr>
        <w:t>3.3 Priorität 3: Lizenzstreit Fonderie Roussel</w:t>
      </w:r>
    </w:p>
    <w:p>
      <w:pPr>
        <w:jc w:val="left"/>
      </w:pPr>
      <w:r>
        <w:t>Der Abschluss eines Restbestandsabkommens ist wichtig, um FR nicht zum aggressiven Prozessführer zu machen. Eine gerichtliche Auseinandersetzung mit FR — möglicherweise vor französischen Gerichten — bindet Ressourcen und birgt Ungewissheiten im Hinblick auf das anwendbare Recht und die Vollstreckung.</w:t>
      </w:r>
    </w:p>
    <w:p>
      <w:pPr>
        <w:pStyle w:val="Heading3"/>
      </w:pPr>
      <w:r>
        <w:rPr>
          <w:rFonts w:ascii="Times New Roman" w:hAnsi="Times New Roman"/>
        </w:rPr>
        <w:t>3.4 Priorität 4: Geschmacksmuster-Nichtigkeitsverfahren</w:t>
      </w:r>
    </w:p>
    <w:p>
      <w:pPr>
        <w:jc w:val="left"/>
      </w:pPr>
      <w:r>
        <w:t>Paralleles Verfahren zum EUIPO-Markenstreit; wichtig, aber durch das Sachverständigengutachten Stein-Weitmann gut positioniert.</w:t>
      </w:r>
    </w:p>
    <w:p>
      <w:pPr>
        <w:pStyle w:val="Heading3"/>
      </w:pPr>
      <w:r>
        <w:rPr>
          <w:rFonts w:ascii="Times New Roman" w:hAnsi="Times New Roman"/>
        </w:rPr>
        <w:t>3.5 Priorität 5–6: UWG und Domain</w:t>
      </w:r>
    </w:p>
    <w:p>
      <w:pPr>
        <w:jc w:val="left"/>
      </w:pPr>
      <w:r>
        <w:t>Das UWG-Verfahren und der Domain-Streit sind wichtig für das Grundsatzbild, aber wirtschaftlich nachrangig. Im UWG-Verfahren ist ein Vergleich mit Huberth-Schwager die bevorzugte Lösung; beim Domain-Streit reicht zunächst der Dispute-Eintrag.</w:t>
      </w:r>
    </w:p>
    <w:p>
      <w:pPr>
        <w:pStyle w:val="Heading2"/>
      </w:pPr>
      <w:r>
        <w:rPr>
          <w:rFonts w:ascii="Times New Roman" w:hAnsi="Times New Roman"/>
        </w:rPr>
        <w:t>4. Finanzielle Gesamtbilanz (vorläufig)</w:t>
      </w:r>
    </w:p>
    <w:p>
      <w:pPr>
        <w:pStyle w:val="Heading3"/>
      </w:pPr>
      <w:r>
        <w:rPr>
          <w:rFonts w:ascii="Times New Roman" w:hAnsi="Times New Roman"/>
        </w:rPr>
        <w:t>Verfahrenskosten bisher (Stand Juli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Kanzleigebühren RA Mertens-Waldhausen (60 h à 310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Kanzleigebühren PA Dr. Trautmann (40 h à 380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GfK-Gutachten Verkehrsdurchsetzung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TÜV-Qualitätsgutachten (UWG-Verfahren)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(eV + Hauptsache LG Mannheim)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Notarkosten (Social-Media-Beurkundung)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Testkauf-Aufwendungen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bisher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60.980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Erwartete Einnahmen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 FlowerWorld (Schadensersatz)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Kostenerstattung FlowerWorld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</w:tr>
    </w:tbl>
    <w:p>
      <w:pPr>
        <w:jc w:val="left"/>
      </w:pPr>
      <w:r>
        <w:rPr>
          <w:b/>
        </w:rPr>
        <w:t>Nettobelastung Mandantin (nach Erstattungen):</w:t>
      </w:r>
      <w:r>
        <w:t xml:space="preserve"> ca. 21.000 EUR — angesichts der gesicherten Marktposition und des abgewehrten Schadens (18.000 Stück aus dem Markt genommen = Schutz des Premiummarktes) ein vertretbarer Aufwand.</w:t>
      </w:r>
    </w:p>
    <w:p>
      <w:pPr>
        <w:pStyle w:val="Heading2"/>
      </w:pPr>
      <w:r>
        <w:rPr>
          <w:rFonts w:ascii="Times New Roman" w:hAnsi="Times New Roman"/>
        </w:rPr>
        <w:t>5. Mandantenkommunikation</w:t>
      </w:r>
    </w:p>
    <w:p>
      <w:pPr>
        <w:jc w:val="left"/>
      </w:pPr>
      <w:r>
        <w:t>Jour-Fixe-Termine mit der Mandantin finden weiterhin dienstags um 10:00 Uhr statt (30-minütig per Telefon). Monatliches Schreiben mit Verfahrensüberblick wird am 01. jeden Monats verschickt.</w:t>
      </w:r>
    </w:p>
    <w:p>
      <w:pPr>
        <w:jc w:val="left"/>
      </w:pPr>
      <w:r>
        <w:t>Nächste persönliche Besprechung: 08. Juli 2026 nach dem Gerichtstermin (oder nach Vergleichsunterzeichnung), Kanzlei Mannheim, 14:00 Uhr.</w:t>
      </w:r>
    </w:p>
    <w:p/>
    <w:p>
      <w:pPr>
        <w:jc w:val="left"/>
      </w:pPr>
      <w:r>
        <w:rPr>
          <w:b/>
        </w:rPr>
        <w:t>Erstellt von:</w:t>
      </w:r>
      <w:r>
        <w:t xml:space="preserve"> PA Dr. Volkmar Trautmann / RA Philipp Mertens-Waldhausen</w:t>
      </w:r>
    </w:p>
    <w:p>
      <w:pPr>
        <w:jc w:val="left"/>
      </w:pPr>
      <w:r>
        <w:rPr>
          <w:b/>
        </w:rPr>
        <w:t>Datum:</w:t>
      </w:r>
      <w:r>
        <w:t xml:space="preserve"> 02. Juli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GF Leichtenstein Gartenkultur Manufaktur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GF Leichtenstein Gartenkultur Manufaktur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