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10 - Prüfauftrag Kanzlei</w:t>
      </w:r>
    </w:p>
    <w:p>
      <w:pPr>
        <w:pStyle w:val="Heading2"/>
      </w:pPr>
      <w:r>
        <w:rPr>
          <w:rFonts w:ascii="Times New Roman" w:hAnsi="Times New Roman"/>
        </w:rPr>
        <w:t>Mandantenstamm</w:t>
      </w:r>
    </w:p>
    <w:p>
      <w:pPr>
        <w:pStyle w:val="ListBullet"/>
      </w:pPr>
      <w:r>
        <w:t>Mandantin: Clara Herbst, Lerchengasse 11, 92637 Oberkrainbach.</w:t>
      </w:r>
    </w:p>
    <w:p>
      <w:pPr>
        <w:pStyle w:val="ListBullet"/>
      </w:pPr>
      <w:r>
        <w:t>Beruf: Strategischer Einkauf, HanseLicht Komponenten GmbH, Bremen (Konzerntochter HanseLicht International AG).</w:t>
      </w:r>
    </w:p>
    <w:p>
      <w:pPr>
        <w:pStyle w:val="ListBullet"/>
      </w:pPr>
      <w:r>
        <w:t>Mandatsbereich: Äußerungsrecht, Strafverteidigung Bagatellbereich, beratend zu Arbeitsrecht.</w:t>
      </w:r>
    </w:p>
    <w:p>
      <w:pPr>
        <w:pStyle w:val="ListBullet"/>
      </w:pPr>
      <w:r>
        <w:t>Aktenzeichen Kanzlei: MP-2026/118.</w:t>
      </w:r>
    </w:p>
    <w:p>
      <w:pPr>
        <w:pStyle w:val="ListBullet"/>
      </w:pPr>
      <w:r>
        <w:t>Honorar: RVG-Beratung, ggf. Honorarvereinbarung 280 EUR/h zzgl. USt für Out-of-Scope-Arbeiten (Schulkonflikt, USA-Vergleich).</w:t>
      </w:r>
    </w:p>
    <w:p>
      <w:pPr>
        <w:pStyle w:val="Heading2"/>
      </w:pPr>
      <w:r>
        <w:rPr>
          <w:rFonts w:ascii="Times New Roman" w:hAnsi="Times New Roman"/>
        </w:rPr>
        <w:t>Auftrag</w:t>
      </w:r>
    </w:p>
    <w:p>
      <w:pPr>
        <w:jc w:val="left"/>
      </w:pPr>
      <w:r>
        <w:t xml:space="preserve">Bitte mit dem Plugin </w:t>
      </w:r>
      <w:r>
        <w:t>meinungspruefer</w:t>
      </w:r>
      <w:r>
        <w:t xml:space="preserve"> prüfen:</w:t>
      </w:r>
    </w:p>
    <w:p>
      <w:pPr>
        <w:pStyle w:val="ListNumber"/>
      </w:pPr>
      <w:r>
        <w:t>Welche Äußerungen sind vorrangig Meinung, welche Tatsachenbehauptung, welche gemischt? Pro Äußerung: Sinn nach objektivem Empfängerhorizont; Mehrdeutigkeitsregel anwenden.</w:t>
      </w:r>
    </w:p>
    <w:p>
      <w:pPr>
        <w:pStyle w:val="ListNumber"/>
      </w:pPr>
      <w:r>
        <w:t>Welche Belege fehlen? Welche genügen für die "Wahrheit" einer Tatsachenbehauptung im zivilrechtlichen Unterlassungsrecht und für die "ausreichende Recherche" bei § 193 StGB?</w:t>
      </w:r>
    </w:p>
    <w:p>
      <w:pPr>
        <w:pStyle w:val="ListNumber"/>
      </w:pPr>
      <w:r>
        <w:t>Ist "Lackaffe" im Kontext der Bürgerversammlung eher zulässige zugespitzte Machtkritik oder Beleidigung — und ändert sich die Bewertung durch den Lokal-TV-Mitschnitt?</w:t>
      </w:r>
    </w:p>
    <w:p>
      <w:pPr>
        <w:pStyle w:val="ListNumber"/>
      </w:pPr>
      <w:r>
        <w:t>Ist der Pinocchio-Vergleich auf LinkedIn als Satire/Wertung vertretbar oder wegen der konkreten Lieferzusagen gefährlich? Wie wirkt sich aus, dass eine der zitierten Aussagen ("ganz sicher im April") nicht schriftlich dokumentiert ist?</w:t>
      </w:r>
    </w:p>
    <w:p>
      <w:pPr>
        <w:pStyle w:val="ListNumber"/>
      </w:pPr>
      <w:r>
        <w:t>Wie ist die Kantinenäußerung "trickst die Zahlen zurecht" arbeitsrechtlich und strafrechtlich einzuordnen? Trägt die Excel-Differenz als Anknüpfungstatsache?</w:t>
      </w:r>
    </w:p>
    <w:p>
      <w:pPr>
        <w:pStyle w:val="ListNumber"/>
      </w:pPr>
      <w:r>
        <w:t>Wie sollte Clara auf die Abmahnung und die polizeiliche Anhörung reagieren? Ist Schweigen im Strafverfahren ratsam? Welche Antwort an Dr. Barcken &amp; Voss bewahrt das Verfahren möglichst ohne Anerkenntnis?</w:t>
      </w:r>
    </w:p>
    <w:p>
      <w:pPr>
        <w:pStyle w:val="ListNumber"/>
      </w:pPr>
      <w:r>
        <w:t>Welche Sätze sollte sie künftig sicherer formulieren? "Was darf ich noch sagen"-Handreichung in zwei Varianten: hart und weich.</w:t>
      </w:r>
    </w:p>
    <w:p>
      <w:pPr>
        <w:pStyle w:val="ListNumber"/>
      </w:pPr>
      <w:r>
        <w:t>Welche EGMR-, EuGH-/GRCh- und OLG-Linien sind für die Abwägung wirklich tragend? Bitte nur prüfbare Entscheidungen mit Gericht, Datum, Aktenzeichen und Fundstelle.</w:t>
      </w:r>
    </w:p>
    <w:p>
      <w:pPr>
        <w:pStyle w:val="ListNumber"/>
      </w:pPr>
      <w:r>
        <w:t>Wie sähe ein sauber getrennter USA-Vergleich aus, ohne US-First-Amendment-Maßstäbe in die deutsche Prüfung hineinzuschieben?</w:t>
      </w:r>
    </w:p>
    <w:p>
      <w:pPr>
        <w:pStyle w:val="ListNumber"/>
      </w:pPr>
      <w:r>
        <w:t>Wie ist mit dem anonymen DM-Hinweis auf "geglättete" Risikoeinstufung umzugehen — quellenschutzrechtlich und beweisrechtlich?</w:t>
      </w:r>
    </w:p>
    <w:p>
      <w:pPr>
        <w:pStyle w:val="ListNumber"/>
      </w:pPr>
      <w:r>
        <w:t>Welche schulrechtliche Folge droht durch die Hausverbots-Andeutung; ist eine vorsorgliche Beschwerde an das Schulamt sinnvoll?</w:t>
      </w:r>
    </w:p>
    <w:p>
      <w:pPr>
        <w:pStyle w:val="Heading2"/>
      </w:pPr>
      <w:r>
        <w:rPr>
          <w:rFonts w:ascii="Times New Roman" w:hAnsi="Times New Roman"/>
        </w:rPr>
        <w:t>Gewünschter Output</w:t>
      </w:r>
    </w:p>
    <w:p>
      <w:pPr>
        <w:pStyle w:val="ListBullet"/>
      </w:pPr>
      <w:r>
        <w:t>Akteninventar mit Fundstellen pro Äußerung.</w:t>
      </w:r>
    </w:p>
    <w:p>
      <w:pPr>
        <w:pStyle w:val="ListBullet"/>
      </w:pPr>
      <w:r>
        <w:t>Äußerungsblatt pro Fall (1 DIN-A4-Seite je Äußerung).</w:t>
      </w:r>
    </w:p>
    <w:p>
      <w:pPr>
        <w:pStyle w:val="ListBullet"/>
      </w:pPr>
      <w:r>
        <w:t>Risikoampel Strafrecht / Zivilrecht / Plattform / Arbeitsrecht / Schule / Reputation (jeweils Grün, Gelb, Rot mit kurzer Begründung).</w:t>
      </w:r>
    </w:p>
    <w:p>
      <w:pPr>
        <w:pStyle w:val="ListBullet"/>
      </w:pPr>
      <w:r>
        <w:t>Prüfvermerk mit Art.-5-GG-Abwägung im Gutachtenstil; Schwerpunkt: BVerfG-Linie zur "Lackaffe"-Ebene und zur Verdachtsberichterstattung; § 188 StGB und seine Spezifika.</w:t>
      </w:r>
    </w:p>
    <w:p>
      <w:pPr>
        <w:pStyle w:val="ListBullet"/>
      </w:pPr>
      <w:r>
        <w:t>Europäischer Kontrollblock: Art. 10 EMRK, Art. 11 GRCh, Plattform-/Suchmaschinenbezug (insb. DSA-Notice-and-Action für LinkedIn).</w:t>
      </w:r>
    </w:p>
    <w:p>
      <w:pPr>
        <w:pStyle w:val="ListBullet"/>
      </w:pPr>
      <w:r>
        <w:t>OLG-/KG-Praxischeck für Unterlassungsrisiko und Tenorweite (Schwerpunkt: Bayerische OLG, KG Berlin als methodische Referenz).</w:t>
      </w:r>
    </w:p>
    <w:p>
      <w:pPr>
        <w:pStyle w:val="ListBullet"/>
      </w:pPr>
      <w:r>
        <w:t>Optionaler USA-Vergleichsblock für die Geschäftsführung (kein Ersatz für deutsche Prüfung).</w:t>
      </w:r>
    </w:p>
    <w:p>
      <w:pPr>
        <w:pStyle w:val="ListBullet"/>
      </w:pPr>
      <w:r>
        <w:t>Entwurf einer vorsichtigen Antwort an die Kanzlei Dr. Barcken &amp; Voss (keine Unterlassungserklärung in vorgeschlagener Form; Gegenvorschlag mit modifizierter Erklärung nur für "Lackaffe" und mit verminderter Vertragsstrafe).</w:t>
      </w:r>
    </w:p>
    <w:p>
      <w:pPr>
        <w:pStyle w:val="ListBullet"/>
      </w:pPr>
      <w:r>
        <w:t>Entwurf einer schriftlichen Stellungnahme an die Polizei Oberkrainbach (zwei Varianten: knapp / ausführlich).</w:t>
      </w:r>
    </w:p>
    <w:p>
      <w:pPr>
        <w:pStyle w:val="ListBullet"/>
      </w:pPr>
      <w:r>
        <w:t>Strategiepapier zum HR-Gespräch HanseLicht (inkl. Beweissicherungs-Hinweisen).</w:t>
      </w:r>
    </w:p>
    <w:p>
      <w:pPr>
        <w:pStyle w:val="ListBullet"/>
      </w:pPr>
      <w:r>
        <w:t>Briefing für Geschäftsführerin Hagedorn zum US-Vergleich (max. zwei Seiten).</w:t>
      </w:r>
    </w:p>
    <w:p>
      <w:pPr>
        <w:pStyle w:val="ListBullet"/>
      </w:pPr>
      <w:r>
        <w:t>Kurze Handreichung für Clara: "Was darf ich noch sagen?" — als A4-Merkblatt.</w:t>
      </w:r>
    </w:p>
    <w:p>
      <w:pPr>
        <w:pStyle w:val="Heading2"/>
      </w:pPr>
      <w:r>
        <w:rPr>
          <w:rFonts w:ascii="Times New Roman" w:hAnsi="Times New Roman"/>
        </w:rPr>
        <w:t>Vorgabe</w:t>
      </w:r>
    </w:p>
    <w:p>
      <w:pPr>
        <w:pStyle w:val="ListBullet"/>
      </w:pPr>
      <w:r>
        <w:t>Keine BeckRS-Zitate, keine Kommentarzitate.</w:t>
      </w:r>
    </w:p>
    <w:p>
      <w:pPr>
        <w:pStyle w:val="ListBullet"/>
      </w:pPr>
      <w:r>
        <w:t>Rechtsprechung nur mit Gericht, Datum, Aktenzeichen und frei prüfbarer Quelle (BVerfG, BGH, OLG-Datenbank, EGMR-HUDOC, EuGH Curia).</w:t>
      </w:r>
    </w:p>
    <w:p>
      <w:pPr>
        <w:pStyle w:val="ListBullet"/>
      </w:pPr>
      <w:r>
        <w:t>Mehrdeutige Äußerungen vor Auslegung zitieren, dann nach BVerfG-Stolpe-Methodik prüfen.</w:t>
      </w:r>
    </w:p>
    <w:p>
      <w:pPr>
        <w:pStyle w:val="ListBullet"/>
      </w:pPr>
      <w:r>
        <w:t>Keine US-Maßstäbe einschmuggeln. Rechtsvergleich nur im dafür gekennzeichneten Skill-Block.</w:t>
      </w:r>
    </w:p>
    <w:p>
      <w:pPr>
        <w:pStyle w:val="ListBullet"/>
      </w:pPr>
      <w:r>
        <w:t>Mandantengeheimnis: Excel-Versionen aus HanseLicht enthalten interne Konzerndaten — vor Versand außerhalb der Kanzlei auf AVV achten.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HanseLicht Komponenten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HanseLicht Komponenten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Bremen (Konzerntochter HanseLicht International AG). · Aktenzeichen Kanzlei: MP-2026/118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