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Mandantenbriefing Volkenrath Energie SE — Vorstandssitzung 8. April 2026</w:t>
      </w:r>
    </w:p>
    <w:p>
      <w:pPr>
        <w:jc w:val="left"/>
      </w:pPr>
      <w:r>
        <w:t>Aktenzeichen: FST-2026-0918</w:t>
      </w:r>
    </w:p>
    <w:p>
      <w:pPr>
        <w:jc w:val="left"/>
      </w:pPr>
      <w:r>
        <w:t>Datum: 8. April 2026</w:t>
      </w:r>
    </w:p>
    <w:p>
      <w:pPr>
        <w:jc w:val="left"/>
      </w:pPr>
      <w:r>
        <w:t>Verfasser: RA Dr. Theresa Federkamp-Wittfeldt</w:t>
      </w:r>
    </w:p>
    <w:p>
      <w:pPr>
        <w:jc w:val="left"/>
      </w:pPr>
      <w:r>
        <w:t>Empfänger: Dr. Reginald Volkenrath (CEO), Dr. Sabine Hagenburg (CFO), Marc Lattermann (COO)</w:t>
      </w:r>
    </w:p>
    <w:p>
      <w:pPr>
        <w:pStyle w:val="Heading2"/>
      </w:pPr>
      <w:r>
        <w:rPr>
          <w:rFonts w:ascii="Times New Roman" w:hAnsi="Times New Roman"/>
        </w:rPr>
        <w:t>1. Anlass und Gegenstand</w:t>
      </w:r>
    </w:p>
    <w:p>
      <w:pPr>
        <w:jc w:val="left"/>
      </w:pPr>
      <w:r>
        <w:t>Die Volkenrath Energie SE, eingetragen im Handelsregister Hannover (HRB 45892), beabsichtigt den Erwerb sämtlicher Betriebsvermögensgegenstände der britischen Pipeline Northsea Ltd. im Wege eines Asset-Deals. Das Zielunternehmen ist eine Tochtergesellschaft der Caledonian Industrial Holdings plc (Edinburgh) und betreibt eine Ammoniakproduktionsanlage sowie eine dazugehörige Pipeline-Infrastruktur im Nordseeraum. Das indikative Transaktionsvolumen beläuft sich auf knapp neun Milliarden Euro.</w:t>
      </w:r>
    </w:p>
    <w:p>
      <w:pPr>
        <w:jc w:val="left"/>
      </w:pPr>
      <w:r>
        <w:t>Die Kanzlei Federkamp Steinheim Tannenfels mbB (FST) wurde mit Schreiben vom 3. April 2026 (Anlage 1) mit der rechtlichen Begleitung des Erwerbs beauftragt. Federführend ist RA Dr. Theresa Federkamp-Wittfeldt; für kartellrechtliche Fragen steht RA Dr. Mark Roosendaal zur Verfügung, für steuerrechtliche Strukturierungsfragen RAin Annegret Pohlmann.</w:t>
      </w:r>
    </w:p>
    <w:p>
      <w:pPr>
        <w:pStyle w:val="Heading2"/>
      </w:pPr>
      <w:r>
        <w:rPr>
          <w:rFonts w:ascii="Times New Roman" w:hAnsi="Times New Roman"/>
        </w:rPr>
        <w:t>2. Transaktionsgegenstand</w:t>
      </w:r>
    </w:p>
    <w:p>
      <w:pPr>
        <w:jc w:val="left"/>
      </w:pPr>
      <w:r>
        <w:t>Gegenstand des Asset-Deals sind im Einzelnen:</w:t>
      </w:r>
    </w:p>
    <w:p>
      <w:pPr>
        <w:pStyle w:val="ListBullet"/>
      </w:pPr>
      <w:r>
        <w:t>Alle Produktionsanlagen der Ammoniakproduktion Helgoland-Vorgelagert (Bruttobuchwert ca. 2,1 Mrd. Euro)</w:t>
      </w:r>
    </w:p>
    <w:p>
      <w:pPr>
        <w:pStyle w:val="ListBullet"/>
      </w:pPr>
      <w:r>
        <w:t>Die Ammoniak-Pipeline Northsea-West (Länge: 387 km, Kapazität: 420.000 t/a)</w:t>
      </w:r>
    </w:p>
    <w:p>
      <w:pPr>
        <w:pStyle w:val="ListBullet"/>
      </w:pPr>
      <w:r>
        <w:t>Sämtliche damit verbundene Betriebsgenehmigungen und Umweltzertifikate (vorbehaltlich behördlicher Übertragbarkeit)</w:t>
      </w:r>
    </w:p>
    <w:p>
      <w:pPr>
        <w:pStyle w:val="ListBullet"/>
      </w:pPr>
      <w:r>
        <w:t>Gewerbliche Schutzrechte und Know-how (Patentportfolio, 14 aktive Patente)</w:t>
      </w:r>
    </w:p>
    <w:p>
      <w:pPr>
        <w:pStyle w:val="ListBullet"/>
      </w:pPr>
      <w:r>
        <w:t>Kundenverträge mit einer Restlaufzeit von durchschnittlich 4,2 Jahren (Gesamtvolumen ca. 890 Mio. Euro p.a.)</w:t>
      </w:r>
    </w:p>
    <w:p>
      <w:pPr>
        <w:pStyle w:val="ListBullet"/>
      </w:pPr>
      <w:r>
        <w:t>Ca. 340 Vollzeitäquivalente (VZÄ), die unmittelbar dem Betrieb der Anlage zugeordnet sind</w:t>
      </w:r>
    </w:p>
    <w:p>
      <w:pPr>
        <w:jc w:val="left"/>
      </w:pPr>
      <w:r>
        <w:t>Ausdrücklich nicht Gegenstand des Asset-Deals sind: Die Pipeline-Northsea-East (verbleibt bei Caledonian), etwaige Pensionsverpflichtungen außerhalb des Übergangsbestandes nach § 613a BGB sowie alle Verbindlichkeiten aus anhängigen Rechtsstreitigkeiten (Schedule of Excluded Liabilities, Stand: 1. April 2026).</w:t>
      </w:r>
    </w:p>
    <w:p>
      <w:pPr>
        <w:pStyle w:val="Heading2"/>
      </w:pPr>
      <w:r>
        <w:rPr>
          <w:rFonts w:ascii="Times New Roman" w:hAnsi="Times New Roman"/>
        </w:rPr>
        <w:t>3. Zeitplan (indikativ)</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Meilenstein</w:t>
            </w:r>
          </w:p>
        </w:tc>
        <w:tc>
          <w:tcPr>
            <w:tcW w:type="dxa" w:w="4536"/>
          </w:tcPr>
          <w:p>
            <w:r>
              <w:rPr>
                <w:rFonts w:ascii="Times New Roman" w:hAnsi="Times New Roman"/>
                <w:b/>
                <w:sz w:val="20"/>
              </w:rPr>
              <w:t>Datum</w:t>
            </w:r>
          </w:p>
        </w:tc>
      </w:tr>
      <w:tr>
        <w:tc>
          <w:tcPr>
            <w:tcW w:type="dxa" w:w="4536"/>
          </w:tcPr>
          <w:p>
            <w:r>
              <w:rPr>
                <w:rFonts w:ascii="Times New Roman" w:hAnsi="Times New Roman"/>
                <w:sz w:val="20"/>
              </w:rPr>
              <w:t>Exklusivitätsvereinbarung</w:t>
            </w:r>
          </w:p>
        </w:tc>
        <w:tc>
          <w:tcPr>
            <w:tcW w:type="dxa" w:w="4536"/>
          </w:tcPr>
          <w:p>
            <w:r>
              <w:rPr>
                <w:rFonts w:ascii="Times New Roman" w:hAnsi="Times New Roman"/>
                <w:sz w:val="20"/>
              </w:rPr>
              <w:t>14. April 2026</w:t>
            </w:r>
          </w:p>
        </w:tc>
      </w:tr>
      <w:tr>
        <w:tc>
          <w:tcPr>
            <w:tcW w:type="dxa" w:w="4536"/>
          </w:tcPr>
          <w:p>
            <w:r>
              <w:rPr>
                <w:rFonts w:ascii="Times New Roman" w:hAnsi="Times New Roman"/>
                <w:sz w:val="20"/>
              </w:rPr>
              <w:t>Start Legal Due Diligence</w:t>
            </w:r>
          </w:p>
        </w:tc>
        <w:tc>
          <w:tcPr>
            <w:tcW w:type="dxa" w:w="4536"/>
          </w:tcPr>
          <w:p>
            <w:r>
              <w:rPr>
                <w:rFonts w:ascii="Times New Roman" w:hAnsi="Times New Roman"/>
                <w:sz w:val="20"/>
              </w:rPr>
              <w:t>22. April 2026</w:t>
            </w:r>
          </w:p>
        </w:tc>
      </w:tr>
      <w:tr>
        <w:tc>
          <w:tcPr>
            <w:tcW w:type="dxa" w:w="4536"/>
          </w:tcPr>
          <w:p>
            <w:r>
              <w:rPr>
                <w:rFonts w:ascii="Times New Roman" w:hAnsi="Times New Roman"/>
                <w:sz w:val="20"/>
              </w:rPr>
              <w:t>Abschluss Due Diligence</w:t>
            </w:r>
          </w:p>
        </w:tc>
        <w:tc>
          <w:tcPr>
            <w:tcW w:type="dxa" w:w="4536"/>
          </w:tcPr>
          <w:p>
            <w:r>
              <w:rPr>
                <w:rFonts w:ascii="Times New Roman" w:hAnsi="Times New Roman"/>
                <w:sz w:val="20"/>
              </w:rPr>
              <w:t>30. Mai 2026</w:t>
            </w:r>
          </w:p>
        </w:tc>
      </w:tr>
      <w:tr>
        <w:tc>
          <w:tcPr>
            <w:tcW w:type="dxa" w:w="4536"/>
          </w:tcPr>
          <w:p>
            <w:r>
              <w:rPr>
                <w:rFonts w:ascii="Times New Roman" w:hAnsi="Times New Roman"/>
                <w:sz w:val="20"/>
              </w:rPr>
              <w:t>Signing SPA</w:t>
            </w:r>
          </w:p>
        </w:tc>
        <w:tc>
          <w:tcPr>
            <w:tcW w:type="dxa" w:w="4536"/>
          </w:tcPr>
          <w:p>
            <w:r>
              <w:rPr>
                <w:rFonts w:ascii="Times New Roman" w:hAnsi="Times New Roman"/>
                <w:sz w:val="20"/>
              </w:rPr>
              <w:t>20. Juni 2026</w:t>
            </w:r>
          </w:p>
        </w:tc>
      </w:tr>
      <w:tr>
        <w:tc>
          <w:tcPr>
            <w:tcW w:type="dxa" w:w="4536"/>
          </w:tcPr>
          <w:p>
            <w:r>
              <w:rPr>
                <w:rFonts w:ascii="Times New Roman" w:hAnsi="Times New Roman"/>
                <w:sz w:val="20"/>
              </w:rPr>
              <w:t>Kartellrechtliche Freigaben</w:t>
            </w:r>
          </w:p>
        </w:tc>
        <w:tc>
          <w:tcPr>
            <w:tcW w:type="dxa" w:w="4536"/>
          </w:tcPr>
          <w:p>
            <w:r>
              <w:rPr>
                <w:rFonts w:ascii="Times New Roman" w:hAnsi="Times New Roman"/>
                <w:sz w:val="20"/>
              </w:rPr>
              <w:t>bis 15. August 2026</w:t>
            </w:r>
          </w:p>
        </w:tc>
      </w:tr>
      <w:tr>
        <w:tc>
          <w:tcPr>
            <w:tcW w:type="dxa" w:w="4536"/>
          </w:tcPr>
          <w:p>
            <w:r>
              <w:rPr>
                <w:rFonts w:ascii="Times New Roman" w:hAnsi="Times New Roman"/>
                <w:sz w:val="20"/>
              </w:rPr>
              <w:t>Closing</w:t>
            </w:r>
          </w:p>
        </w:tc>
        <w:tc>
          <w:tcPr>
            <w:tcW w:type="dxa" w:w="4536"/>
          </w:tcPr>
          <w:p>
            <w:r>
              <w:rPr>
                <w:rFonts w:ascii="Times New Roman" w:hAnsi="Times New Roman"/>
                <w:sz w:val="20"/>
              </w:rPr>
              <w:t>1. September 2026</w:t>
            </w:r>
          </w:p>
        </w:tc>
      </w:tr>
    </w:tbl>
    <w:p>
      <w:pPr>
        <w:pStyle w:val="Heading2"/>
      </w:pPr>
      <w:r>
        <w:rPr>
          <w:rFonts w:ascii="Times New Roman" w:hAnsi="Times New Roman"/>
        </w:rPr>
        <w:t>4. Prioritäre Rechtsfragen</w:t>
      </w:r>
    </w:p>
    <w:p>
      <w:pPr>
        <w:jc w:val="left"/>
      </w:pPr>
      <w:r>
        <w:t>Auf Basis des ersten Mandantenbriefings wurden folgende prioritäre Rechtsfragen identifiziert:</w:t>
      </w:r>
    </w:p>
    <w:p>
      <w:pPr>
        <w:pStyle w:val="ListNumber"/>
      </w:pPr>
      <w:r>
        <w:t>Gesellschaftsrechtliche Zulässigkeit des Erwerbs (Zustimmungspflicht Aufsichtsrat nach AktG § 111 Abs. 4)</w:t>
      </w:r>
    </w:p>
    <w:p>
      <w:pPr>
        <w:pStyle w:val="ListNumber"/>
      </w:pPr>
      <w:r>
        <w:t>Kartellrechtliche Anmeldepflicht BKartA und CMA UK (GWB §§ 35 ff.)</w:t>
      </w:r>
    </w:p>
    <w:p>
      <w:pPr>
        <w:pStyle w:val="ListNumber"/>
      </w:pPr>
      <w:r>
        <w:t>Außenwirtschaftsrechtliche Investitionsprüfung BMWK (AWG/AWV §§ 55 ff.)</w:t>
      </w:r>
    </w:p>
    <w:p>
      <w:pPr>
        <w:pStyle w:val="ListNumber"/>
      </w:pPr>
      <w:r>
        <w:t>Arbeitsrechtliche Folgen nach § 613a BGB</w:t>
      </w:r>
    </w:p>
    <w:p>
      <w:pPr>
        <w:pStyle w:val="ListNumber"/>
      </w:pPr>
      <w:r>
        <w:t>Umweltrechtliche Altlastenverantwortung Werksgelände Helgoland-Vorgelagert</w:t>
      </w:r>
    </w:p>
    <w:p>
      <w:pPr>
        <w:pStyle w:val="ListNumber"/>
      </w:pPr>
      <w:r>
        <w:t>Immobilienrechtliche Übertragung (Liegenschaften in britischer Jurisdiction)</w:t>
      </w:r>
    </w:p>
    <w:p>
      <w:pPr>
        <w:pStyle w:val="ListNumber"/>
      </w:pPr>
      <w:r>
        <w:t>Steuerrechtliche Strukturierungsoptionen</w:t>
      </w:r>
    </w:p>
    <w:p>
      <w:pPr>
        <w:pStyle w:val="ListNumber"/>
      </w:pPr>
      <w:r>
        <w:t>Datenschutzrechtliche Drittlandübermittlung UK → DE</w:t>
      </w:r>
    </w:p>
    <w:p>
      <w:pPr>
        <w:pStyle w:val="ListNumber"/>
      </w:pPr>
      <w:r>
        <w:t>Energierechtliche Betriebsfortführungsgenehmigung BNetzA</w:t>
      </w:r>
    </w:p>
    <w:p>
      <w:pPr>
        <w:pStyle w:val="ListNumber"/>
      </w:pPr>
      <w:r>
        <w:t>Finanzierungsstruktur (Debt/Equity Bridge)</w:t>
      </w:r>
    </w:p>
    <w:p>
      <w:pPr>
        <w:pStyle w:val="Heading2"/>
      </w:pPr>
      <w:r>
        <w:rPr>
          <w:rFonts w:ascii="Times New Roman" w:hAnsi="Times New Roman"/>
        </w:rPr>
        <w:t>5. Nächste Schritte</w:t>
      </w:r>
    </w:p>
    <w:p>
      <w:pPr>
        <w:jc w:val="left"/>
      </w:pPr>
      <w:r>
        <w:t>FST wird bis zum 22. April 2026 einen vorläufigen Rechtsfragenkatalog (Memo-Komplex I–X) vorlegen. Der Vorstand wird gebeten, bis zum 15. April 2026 die interne Genehmigung zur Aufnahme der Due Diligence zu erteilen und die VDD (Vendor Due Diligence Reports) von Caledonian anzufordern.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Mandantenbriefing Volkenrath Energie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Mandantenbriefing Volkenrath Energie SE</w:t>
    </w:r>
  </w:p>
  <w:p>
    <w:pPr>
      <w:jc w:val="left"/>
      <w:pBdr>
        <w:bottom w:val="single" w:sz="6" w:space="2" w:color="3B3F45"/>
      </w:pBdr>
    </w:pPr>
    <w:r>
      <w:rPr>
        <w:rFonts w:ascii="Times New Roman" w:hAnsi="Times New Roman"/>
        <w:color w:val="6B6B66"/>
        <w:sz w:val="16"/>
      </w:rPr>
      <w:t>Unternehmen · Aktenzeichen: FST-2026-0918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