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Rechtsfragen-Katalog — Vorstandsvorlage</w:t>
      </w:r>
    </w:p>
    <w:p>
      <w:pPr>
        <w:jc w:val="left"/>
      </w:pPr>
      <w:r>
        <w:t>Aktenzeichen: FST-2026-0918</w:t>
      </w:r>
    </w:p>
    <w:p>
      <w:pPr>
        <w:jc w:val="left"/>
      </w:pPr>
      <w:r>
        <w:t>Datum: 22. April 2026</w:t>
      </w:r>
    </w:p>
    <w:p>
      <w:pPr>
        <w:jc w:val="left"/>
      </w:pPr>
      <w:r>
        <w:t>Verfasserin: RA Dr. Theresa Federkamp-Wittfeldt</w:t>
      </w:r>
    </w:p>
    <w:p>
      <w:pPr>
        <w:jc w:val="left"/>
      </w:pPr>
      <w:r>
        <w:t>An: Vorstand Volkenrath Energie SE</w:t>
      </w:r>
    </w:p>
    <w:p>
      <w:pPr>
        <w:pStyle w:val="Heading2"/>
      </w:pPr>
      <w:r>
        <w:rPr>
          <w:rFonts w:ascii="Times New Roman" w:hAnsi="Times New Roman"/>
        </w:rPr>
        <w:t>Vorbemerkung</w:t>
      </w:r>
    </w:p>
    <w:p>
      <w:pPr>
        <w:jc w:val="left"/>
      </w:pPr>
      <w:r>
        <w:t>Nachfolgend werden die zehn zentralen Rechtsfragenkomplexe des Mandats tabellarisch dargestellt. Zu jedem Komplex existiert ein separates Einzelmemorandum (Memo I–X). Der Katalog dient der Orientierung des Vorstands und als Arbeitsgrundlage für die interne Ressourcenplanung.</w:t>
      </w:r>
    </w:p>
    <w:p>
      <w:pPr>
        <w:pStyle w:val="Heading2"/>
      </w:pPr>
      <w:r>
        <w:rPr>
          <w:rFonts w:ascii="Times New Roman" w:hAnsi="Times New Roman"/>
        </w:rPr>
        <w:t>Rechtsfragen-Übersicht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Rechtsgebiet</w:t>
            </w:r>
          </w:p>
        </w:tc>
        <w:tc>
          <w:tcPr>
            <w:tcW w:type="dxa" w:w="1814"/>
          </w:tcPr>
          <w:p>
            <w:r>
              <w:rPr>
                <w:rFonts w:ascii="Times New Roman" w:hAnsi="Times New Roman"/>
                <w:b/>
                <w:sz w:val="20"/>
              </w:rPr>
              <w:t>Leitfrage</w:t>
            </w:r>
          </w:p>
        </w:tc>
        <w:tc>
          <w:tcPr>
            <w:tcW w:type="dxa" w:w="1814"/>
          </w:tcPr>
          <w:p>
            <w:r>
              <w:rPr>
                <w:rFonts w:ascii="Times New Roman" w:hAnsi="Times New Roman"/>
                <w:b/>
                <w:sz w:val="20"/>
              </w:rPr>
              <w:t>Risikostufe</w:t>
            </w:r>
          </w:p>
        </w:tc>
        <w:tc>
          <w:tcPr>
            <w:tcW w:type="dxa" w:w="1814"/>
          </w:tcPr>
          <w:p>
            <w:r>
              <w:rPr>
                <w:rFonts w:ascii="Times New Roman" w:hAnsi="Times New Roman"/>
                <w:b/>
                <w:sz w:val="20"/>
              </w:rPr>
              <w:t>Memo</w:t>
            </w:r>
          </w:p>
        </w:tc>
      </w:tr>
      <w:tr>
        <w:tc>
          <w:tcPr>
            <w:tcW w:type="dxa" w:w="1814"/>
          </w:tcPr>
          <w:p>
            <w:r>
              <w:rPr>
                <w:rFonts w:ascii="Times New Roman" w:hAnsi="Times New Roman"/>
                <w:sz w:val="20"/>
              </w:rPr>
              <w:t>1</w:t>
            </w:r>
          </w:p>
        </w:tc>
        <w:tc>
          <w:tcPr>
            <w:tcW w:type="dxa" w:w="1814"/>
          </w:tcPr>
          <w:p>
            <w:r>
              <w:rPr>
                <w:rFonts w:ascii="Times New Roman" w:hAnsi="Times New Roman"/>
                <w:sz w:val="20"/>
              </w:rPr>
              <w:t>Gesellschaftsrecht</w:t>
            </w:r>
          </w:p>
        </w:tc>
        <w:tc>
          <w:tcPr>
            <w:tcW w:type="dxa" w:w="1814"/>
          </w:tcPr>
          <w:p>
            <w:r>
              <w:rPr>
                <w:rFonts w:ascii="Times New Roman" w:hAnsi="Times New Roman"/>
                <w:sz w:val="20"/>
              </w:rPr>
              <w:t>Zustimmungspflicht AR nach AktG § 111 Abs. 4?</w:t>
            </w:r>
          </w:p>
        </w:tc>
        <w:tc>
          <w:tcPr>
            <w:tcW w:type="dxa" w:w="1814"/>
          </w:tcPr>
          <w:p>
            <w:r>
              <w:rPr>
                <w:rFonts w:ascii="Times New Roman" w:hAnsi="Times New Roman"/>
                <w:sz w:val="20"/>
              </w:rPr>
              <w:t>Mittel</w:t>
            </w:r>
          </w:p>
        </w:tc>
        <w:tc>
          <w:tcPr>
            <w:tcW w:type="dxa" w:w="1814"/>
          </w:tcPr>
          <w:p>
            <w:r>
              <w:rPr>
                <w:rFonts w:ascii="Times New Roman" w:hAnsi="Times New Roman"/>
                <w:sz w:val="20"/>
              </w:rPr>
              <w:t>Memo I</w:t>
            </w:r>
          </w:p>
        </w:tc>
      </w:tr>
      <w:tr>
        <w:tc>
          <w:tcPr>
            <w:tcW w:type="dxa" w:w="1814"/>
          </w:tcPr>
          <w:p>
            <w:r>
              <w:rPr>
                <w:rFonts w:ascii="Times New Roman" w:hAnsi="Times New Roman"/>
                <w:sz w:val="20"/>
              </w:rPr>
              <w:t>2</w:t>
            </w:r>
          </w:p>
        </w:tc>
        <w:tc>
          <w:tcPr>
            <w:tcW w:type="dxa" w:w="1814"/>
          </w:tcPr>
          <w:p>
            <w:r>
              <w:rPr>
                <w:rFonts w:ascii="Times New Roman" w:hAnsi="Times New Roman"/>
                <w:sz w:val="20"/>
              </w:rPr>
              <w:t>Kartellrecht DE</w:t>
            </w:r>
          </w:p>
        </w:tc>
        <w:tc>
          <w:tcPr>
            <w:tcW w:type="dxa" w:w="1814"/>
          </w:tcPr>
          <w:p>
            <w:r>
              <w:rPr>
                <w:rFonts w:ascii="Times New Roman" w:hAnsi="Times New Roman"/>
                <w:sz w:val="20"/>
              </w:rPr>
              <w:t>Anmeldepflicht BKartA (GWB §§ 35 ff.)?</w:t>
            </w:r>
          </w:p>
        </w:tc>
        <w:tc>
          <w:tcPr>
            <w:tcW w:type="dxa" w:w="1814"/>
          </w:tcPr>
          <w:p>
            <w:r>
              <w:rPr>
                <w:rFonts w:ascii="Times New Roman" w:hAnsi="Times New Roman"/>
                <w:sz w:val="20"/>
              </w:rPr>
              <w:t>Hoch</w:t>
            </w:r>
          </w:p>
        </w:tc>
        <w:tc>
          <w:tcPr>
            <w:tcW w:type="dxa" w:w="1814"/>
          </w:tcPr>
          <w:p>
            <w:r>
              <w:rPr>
                <w:rFonts w:ascii="Times New Roman" w:hAnsi="Times New Roman"/>
                <w:sz w:val="20"/>
              </w:rPr>
              <w:t>Memo II</w:t>
            </w:r>
          </w:p>
        </w:tc>
      </w:tr>
      <w:tr>
        <w:tc>
          <w:tcPr>
            <w:tcW w:type="dxa" w:w="1814"/>
          </w:tcPr>
          <w:p>
            <w:r>
              <w:rPr>
                <w:rFonts w:ascii="Times New Roman" w:hAnsi="Times New Roman"/>
                <w:sz w:val="20"/>
              </w:rPr>
              <w:t>3</w:t>
            </w:r>
          </w:p>
        </w:tc>
        <w:tc>
          <w:tcPr>
            <w:tcW w:type="dxa" w:w="1814"/>
          </w:tcPr>
          <w:p>
            <w:r>
              <w:rPr>
                <w:rFonts w:ascii="Times New Roman" w:hAnsi="Times New Roman"/>
                <w:sz w:val="20"/>
              </w:rPr>
              <w:t>Kartellrecht UK</w:t>
            </w:r>
          </w:p>
        </w:tc>
        <w:tc>
          <w:tcPr>
            <w:tcW w:type="dxa" w:w="1814"/>
          </w:tcPr>
          <w:p>
            <w:r>
              <w:rPr>
                <w:rFonts w:ascii="Times New Roman" w:hAnsi="Times New Roman"/>
                <w:sz w:val="20"/>
              </w:rPr>
              <w:t>Phase-1-Prüfung CMA; Vollzugsverbot?</w:t>
            </w:r>
          </w:p>
        </w:tc>
        <w:tc>
          <w:tcPr>
            <w:tcW w:type="dxa" w:w="1814"/>
          </w:tcPr>
          <w:p>
            <w:r>
              <w:rPr>
                <w:rFonts w:ascii="Times New Roman" w:hAnsi="Times New Roman"/>
                <w:sz w:val="20"/>
              </w:rPr>
              <w:t>Hoch</w:t>
            </w:r>
          </w:p>
        </w:tc>
        <w:tc>
          <w:tcPr>
            <w:tcW w:type="dxa" w:w="1814"/>
          </w:tcPr>
          <w:p>
            <w:r>
              <w:rPr>
                <w:rFonts w:ascii="Times New Roman" w:hAnsi="Times New Roman"/>
                <w:sz w:val="20"/>
              </w:rPr>
              <w:t>Memo II</w:t>
            </w:r>
          </w:p>
        </w:tc>
      </w:tr>
      <w:tr>
        <w:tc>
          <w:tcPr>
            <w:tcW w:type="dxa" w:w="1814"/>
          </w:tcPr>
          <w:p>
            <w:r>
              <w:rPr>
                <w:rFonts w:ascii="Times New Roman" w:hAnsi="Times New Roman"/>
                <w:sz w:val="20"/>
              </w:rPr>
              <w:t>4</w:t>
            </w:r>
          </w:p>
        </w:tc>
        <w:tc>
          <w:tcPr>
            <w:tcW w:type="dxa" w:w="1814"/>
          </w:tcPr>
          <w:p>
            <w:r>
              <w:rPr>
                <w:rFonts w:ascii="Times New Roman" w:hAnsi="Times New Roman"/>
                <w:sz w:val="20"/>
              </w:rPr>
              <w:t>Außenwirtschaftsrecht</w:t>
            </w:r>
          </w:p>
        </w:tc>
        <w:tc>
          <w:tcPr>
            <w:tcW w:type="dxa" w:w="1814"/>
          </w:tcPr>
          <w:p>
            <w:r>
              <w:rPr>
                <w:rFonts w:ascii="Times New Roman" w:hAnsi="Times New Roman"/>
                <w:sz w:val="20"/>
              </w:rPr>
              <w:t>AWG/AWV-Investitionsprüfung BMWK (§§ 55 ff.)?</w:t>
            </w:r>
          </w:p>
        </w:tc>
        <w:tc>
          <w:tcPr>
            <w:tcW w:type="dxa" w:w="1814"/>
          </w:tcPr>
          <w:p>
            <w:r>
              <w:rPr>
                <w:rFonts w:ascii="Times New Roman" w:hAnsi="Times New Roman"/>
                <w:sz w:val="20"/>
              </w:rPr>
              <w:t>Sehr hoch</w:t>
            </w:r>
          </w:p>
        </w:tc>
        <w:tc>
          <w:tcPr>
            <w:tcW w:type="dxa" w:w="1814"/>
          </w:tcPr>
          <w:p>
            <w:r>
              <w:rPr>
                <w:rFonts w:ascii="Times New Roman" w:hAnsi="Times New Roman"/>
                <w:sz w:val="20"/>
              </w:rPr>
              <w:t>Memo III</w:t>
            </w:r>
          </w:p>
        </w:tc>
      </w:tr>
      <w:tr>
        <w:tc>
          <w:tcPr>
            <w:tcW w:type="dxa" w:w="1814"/>
          </w:tcPr>
          <w:p>
            <w:r>
              <w:rPr>
                <w:rFonts w:ascii="Times New Roman" w:hAnsi="Times New Roman"/>
                <w:sz w:val="20"/>
              </w:rPr>
              <w:t>5</w:t>
            </w:r>
          </w:p>
        </w:tc>
        <w:tc>
          <w:tcPr>
            <w:tcW w:type="dxa" w:w="1814"/>
          </w:tcPr>
          <w:p>
            <w:r>
              <w:rPr>
                <w:rFonts w:ascii="Times New Roman" w:hAnsi="Times New Roman"/>
                <w:sz w:val="20"/>
              </w:rPr>
              <w:t>Arbeitsrecht</w:t>
            </w:r>
          </w:p>
        </w:tc>
        <w:tc>
          <w:tcPr>
            <w:tcW w:type="dxa" w:w="1814"/>
          </w:tcPr>
          <w:p>
            <w:r>
              <w:rPr>
                <w:rFonts w:ascii="Times New Roman" w:hAnsi="Times New Roman"/>
                <w:sz w:val="20"/>
              </w:rPr>
              <w:t>Betriebsübergang § 613a BGB; Widerspruchsrecht?</w:t>
            </w:r>
          </w:p>
        </w:tc>
        <w:tc>
          <w:tcPr>
            <w:tcW w:type="dxa" w:w="1814"/>
          </w:tcPr>
          <w:p>
            <w:r>
              <w:rPr>
                <w:rFonts w:ascii="Times New Roman" w:hAnsi="Times New Roman"/>
                <w:sz w:val="20"/>
              </w:rPr>
              <w:t>Hoch</w:t>
            </w:r>
          </w:p>
        </w:tc>
        <w:tc>
          <w:tcPr>
            <w:tcW w:type="dxa" w:w="1814"/>
          </w:tcPr>
          <w:p>
            <w:r>
              <w:rPr>
                <w:rFonts w:ascii="Times New Roman" w:hAnsi="Times New Roman"/>
                <w:sz w:val="20"/>
              </w:rPr>
              <w:t>Memo IV</w:t>
            </w:r>
          </w:p>
        </w:tc>
      </w:tr>
      <w:tr>
        <w:tc>
          <w:tcPr>
            <w:tcW w:type="dxa" w:w="1814"/>
          </w:tcPr>
          <w:p>
            <w:r>
              <w:rPr>
                <w:rFonts w:ascii="Times New Roman" w:hAnsi="Times New Roman"/>
                <w:sz w:val="20"/>
              </w:rPr>
              <w:t>6</w:t>
            </w:r>
          </w:p>
        </w:tc>
        <w:tc>
          <w:tcPr>
            <w:tcW w:type="dxa" w:w="1814"/>
          </w:tcPr>
          <w:p>
            <w:r>
              <w:rPr>
                <w:rFonts w:ascii="Times New Roman" w:hAnsi="Times New Roman"/>
                <w:sz w:val="20"/>
              </w:rPr>
              <w:t>Umweltrecht</w:t>
            </w:r>
          </w:p>
        </w:tc>
        <w:tc>
          <w:tcPr>
            <w:tcW w:type="dxa" w:w="1814"/>
          </w:tcPr>
          <w:p>
            <w:r>
              <w:rPr>
                <w:rFonts w:ascii="Times New Roman" w:hAnsi="Times New Roman"/>
                <w:sz w:val="20"/>
              </w:rPr>
              <w:t>Altlastenverantwortung; Haftungsübergang?</w:t>
            </w:r>
          </w:p>
        </w:tc>
        <w:tc>
          <w:tcPr>
            <w:tcW w:type="dxa" w:w="1814"/>
          </w:tcPr>
          <w:p>
            <w:r>
              <w:rPr>
                <w:rFonts w:ascii="Times New Roman" w:hAnsi="Times New Roman"/>
                <w:sz w:val="20"/>
              </w:rPr>
              <w:t>Sehr hoch</w:t>
            </w:r>
          </w:p>
        </w:tc>
        <w:tc>
          <w:tcPr>
            <w:tcW w:type="dxa" w:w="1814"/>
          </w:tcPr>
          <w:p>
            <w:r>
              <w:rPr>
                <w:rFonts w:ascii="Times New Roman" w:hAnsi="Times New Roman"/>
                <w:sz w:val="20"/>
              </w:rPr>
              <w:t>Memo V</w:t>
            </w:r>
          </w:p>
        </w:tc>
      </w:tr>
      <w:tr>
        <w:tc>
          <w:tcPr>
            <w:tcW w:type="dxa" w:w="1814"/>
          </w:tcPr>
          <w:p>
            <w:r>
              <w:rPr>
                <w:rFonts w:ascii="Times New Roman" w:hAnsi="Times New Roman"/>
                <w:sz w:val="20"/>
              </w:rPr>
              <w:t>7</w:t>
            </w:r>
          </w:p>
        </w:tc>
        <w:tc>
          <w:tcPr>
            <w:tcW w:type="dxa" w:w="1814"/>
          </w:tcPr>
          <w:p>
            <w:r>
              <w:rPr>
                <w:rFonts w:ascii="Times New Roman" w:hAnsi="Times New Roman"/>
                <w:sz w:val="20"/>
              </w:rPr>
              <w:t>Immobilienrecht</w:t>
            </w:r>
          </w:p>
        </w:tc>
        <w:tc>
          <w:tcPr>
            <w:tcW w:type="dxa" w:w="1814"/>
          </w:tcPr>
          <w:p>
            <w:r>
              <w:rPr>
                <w:rFonts w:ascii="Times New Roman" w:hAnsi="Times New Roman"/>
                <w:sz w:val="20"/>
              </w:rPr>
              <w:t>Grundstücksübertragung UK; SDLT?</w:t>
            </w:r>
          </w:p>
        </w:tc>
        <w:tc>
          <w:tcPr>
            <w:tcW w:type="dxa" w:w="1814"/>
          </w:tcPr>
          <w:p>
            <w:r>
              <w:rPr>
                <w:rFonts w:ascii="Times New Roman" w:hAnsi="Times New Roman"/>
                <w:sz w:val="20"/>
              </w:rPr>
              <w:t>Mittel</w:t>
            </w:r>
          </w:p>
        </w:tc>
        <w:tc>
          <w:tcPr>
            <w:tcW w:type="dxa" w:w="1814"/>
          </w:tcPr>
          <w:p>
            <w:r>
              <w:rPr>
                <w:rFonts w:ascii="Times New Roman" w:hAnsi="Times New Roman"/>
                <w:sz w:val="20"/>
              </w:rPr>
              <w:t>Memo VI</w:t>
            </w:r>
          </w:p>
        </w:tc>
      </w:tr>
      <w:tr>
        <w:tc>
          <w:tcPr>
            <w:tcW w:type="dxa" w:w="1814"/>
          </w:tcPr>
          <w:p>
            <w:r>
              <w:rPr>
                <w:rFonts w:ascii="Times New Roman" w:hAnsi="Times New Roman"/>
                <w:sz w:val="20"/>
              </w:rPr>
              <w:t>8</w:t>
            </w:r>
          </w:p>
        </w:tc>
        <w:tc>
          <w:tcPr>
            <w:tcW w:type="dxa" w:w="1814"/>
          </w:tcPr>
          <w:p>
            <w:r>
              <w:rPr>
                <w:rFonts w:ascii="Times New Roman" w:hAnsi="Times New Roman"/>
                <w:sz w:val="20"/>
              </w:rPr>
              <w:t>Steuerrecht</w:t>
            </w:r>
          </w:p>
        </w:tc>
        <w:tc>
          <w:tcPr>
            <w:tcW w:type="dxa" w:w="1814"/>
          </w:tcPr>
          <w:p>
            <w:r>
              <w:rPr>
                <w:rFonts w:ascii="Times New Roman" w:hAnsi="Times New Roman"/>
                <w:sz w:val="20"/>
              </w:rPr>
              <w:t>Optimale Transaktionsstruktur (GmbH vs. SE)?</w:t>
            </w:r>
          </w:p>
        </w:tc>
        <w:tc>
          <w:tcPr>
            <w:tcW w:type="dxa" w:w="1814"/>
          </w:tcPr>
          <w:p>
            <w:r>
              <w:rPr>
                <w:rFonts w:ascii="Times New Roman" w:hAnsi="Times New Roman"/>
                <w:sz w:val="20"/>
              </w:rPr>
              <w:t>Hoch</w:t>
            </w:r>
          </w:p>
        </w:tc>
        <w:tc>
          <w:tcPr>
            <w:tcW w:type="dxa" w:w="1814"/>
          </w:tcPr>
          <w:p>
            <w:r>
              <w:rPr>
                <w:rFonts w:ascii="Times New Roman" w:hAnsi="Times New Roman"/>
                <w:sz w:val="20"/>
              </w:rPr>
              <w:t>Memo VII</w:t>
            </w:r>
          </w:p>
        </w:tc>
      </w:tr>
      <w:tr>
        <w:tc>
          <w:tcPr>
            <w:tcW w:type="dxa" w:w="1814"/>
          </w:tcPr>
          <w:p>
            <w:r>
              <w:rPr>
                <w:rFonts w:ascii="Times New Roman" w:hAnsi="Times New Roman"/>
                <w:sz w:val="20"/>
              </w:rPr>
              <w:t>9</w:t>
            </w:r>
          </w:p>
        </w:tc>
        <w:tc>
          <w:tcPr>
            <w:tcW w:type="dxa" w:w="1814"/>
          </w:tcPr>
          <w:p>
            <w:r>
              <w:rPr>
                <w:rFonts w:ascii="Times New Roman" w:hAnsi="Times New Roman"/>
                <w:sz w:val="20"/>
              </w:rPr>
              <w:t>Datenschutz</w:t>
            </w:r>
          </w:p>
        </w:tc>
        <w:tc>
          <w:tcPr>
            <w:tcW w:type="dxa" w:w="1814"/>
          </w:tcPr>
          <w:p>
            <w:r>
              <w:rPr>
                <w:rFonts w:ascii="Times New Roman" w:hAnsi="Times New Roman"/>
                <w:sz w:val="20"/>
              </w:rPr>
              <w:t>DSGVO-Drittlandübermittlung UK→DE zulässig?</w:t>
            </w:r>
          </w:p>
        </w:tc>
        <w:tc>
          <w:tcPr>
            <w:tcW w:type="dxa" w:w="1814"/>
          </w:tcPr>
          <w:p>
            <w:r>
              <w:rPr>
                <w:rFonts w:ascii="Times New Roman" w:hAnsi="Times New Roman"/>
                <w:sz w:val="20"/>
              </w:rPr>
              <w:t>Mittel</w:t>
            </w:r>
          </w:p>
        </w:tc>
        <w:tc>
          <w:tcPr>
            <w:tcW w:type="dxa" w:w="1814"/>
          </w:tcPr>
          <w:p>
            <w:r>
              <w:rPr>
                <w:rFonts w:ascii="Times New Roman" w:hAnsi="Times New Roman"/>
                <w:sz w:val="20"/>
              </w:rPr>
              <w:t>Memo VIII</w:t>
            </w:r>
          </w:p>
        </w:tc>
      </w:tr>
      <w:tr>
        <w:tc>
          <w:tcPr>
            <w:tcW w:type="dxa" w:w="1814"/>
          </w:tcPr>
          <w:p>
            <w:r>
              <w:rPr>
                <w:rFonts w:ascii="Times New Roman" w:hAnsi="Times New Roman"/>
                <w:sz w:val="20"/>
              </w:rPr>
              <w:t>10</w:t>
            </w:r>
          </w:p>
        </w:tc>
        <w:tc>
          <w:tcPr>
            <w:tcW w:type="dxa" w:w="1814"/>
          </w:tcPr>
          <w:p>
            <w:r>
              <w:rPr>
                <w:rFonts w:ascii="Times New Roman" w:hAnsi="Times New Roman"/>
                <w:sz w:val="20"/>
              </w:rPr>
              <w:t>Energierecht</w:t>
            </w:r>
          </w:p>
        </w:tc>
        <w:tc>
          <w:tcPr>
            <w:tcW w:type="dxa" w:w="1814"/>
          </w:tcPr>
          <w:p>
            <w:r>
              <w:rPr>
                <w:rFonts w:ascii="Times New Roman" w:hAnsi="Times New Roman"/>
                <w:sz w:val="20"/>
              </w:rPr>
              <w:t>BNetzA-Genehmigung §§ 11/12 EnWG; Übergangsbetrieb?</w:t>
            </w:r>
          </w:p>
        </w:tc>
        <w:tc>
          <w:tcPr>
            <w:tcW w:type="dxa" w:w="1814"/>
          </w:tcPr>
          <w:p>
            <w:r>
              <w:rPr>
                <w:rFonts w:ascii="Times New Roman" w:hAnsi="Times New Roman"/>
                <w:sz w:val="20"/>
              </w:rPr>
              <w:t>Hoch</w:t>
            </w:r>
          </w:p>
        </w:tc>
        <w:tc>
          <w:tcPr>
            <w:tcW w:type="dxa" w:w="1814"/>
          </w:tcPr>
          <w:p>
            <w:r>
              <w:rPr>
                <w:rFonts w:ascii="Times New Roman" w:hAnsi="Times New Roman"/>
                <w:sz w:val="20"/>
              </w:rPr>
              <w:t>Memo IX</w:t>
            </w:r>
          </w:p>
        </w:tc>
      </w:tr>
      <w:tr>
        <w:tc>
          <w:tcPr>
            <w:tcW w:type="dxa" w:w="1814"/>
          </w:tcPr>
          <w:p>
            <w:r>
              <w:rPr>
                <w:rFonts w:ascii="Times New Roman" w:hAnsi="Times New Roman"/>
                <w:sz w:val="20"/>
              </w:rPr>
              <w:t>11</w:t>
            </w:r>
          </w:p>
        </w:tc>
        <w:tc>
          <w:tcPr>
            <w:tcW w:type="dxa" w:w="1814"/>
          </w:tcPr>
          <w:p>
            <w:r>
              <w:rPr>
                <w:rFonts w:ascii="Times New Roman" w:hAnsi="Times New Roman"/>
                <w:sz w:val="20"/>
              </w:rPr>
              <w:t>Finanzierung</w:t>
            </w:r>
          </w:p>
        </w:tc>
        <w:tc>
          <w:tcPr>
            <w:tcW w:type="dxa" w:w="1814"/>
          </w:tcPr>
          <w:p>
            <w:r>
              <w:rPr>
                <w:rFonts w:ascii="Times New Roman" w:hAnsi="Times New Roman"/>
                <w:sz w:val="20"/>
              </w:rPr>
              <w:t>Debt/Equity-Bridge; Covenants; MAC-Klausel?</w:t>
            </w:r>
          </w:p>
        </w:tc>
        <w:tc>
          <w:tcPr>
            <w:tcW w:type="dxa" w:w="1814"/>
          </w:tcPr>
          <w:p>
            <w:r>
              <w:rPr>
                <w:rFonts w:ascii="Times New Roman" w:hAnsi="Times New Roman"/>
                <w:sz w:val="20"/>
              </w:rPr>
              <w:t>Mittel</w:t>
            </w:r>
          </w:p>
        </w:tc>
        <w:tc>
          <w:tcPr>
            <w:tcW w:type="dxa" w:w="1814"/>
          </w:tcPr>
          <w:p>
            <w:r>
              <w:rPr>
                <w:rFonts w:ascii="Times New Roman" w:hAnsi="Times New Roman"/>
                <w:sz w:val="20"/>
              </w:rPr>
              <w:t>Memo X</w:t>
            </w:r>
          </w:p>
        </w:tc>
      </w:tr>
    </w:tbl>
    <w:p>
      <w:pPr>
        <w:pStyle w:val="Heading2"/>
      </w:pPr>
      <w:r>
        <w:rPr>
          <w:rFonts w:ascii="Times New Roman" w:hAnsi="Times New Roman"/>
        </w:rPr>
        <w:t>Kritische Pfade</w:t>
      </w:r>
    </w:p>
    <w:p>
      <w:pPr>
        <w:jc w:val="left"/>
      </w:pPr>
      <w:r>
        <w:t>Die Rechtsfragen 4 (AWG) und 6 (Altlasten) sind als Deal-Breaker-Risiken eingestuft. Ohne positive Investitionsprüfung durch das BMWK kann das Closing nicht vollzogen werden. Bei ungesicherter Altlastenhaftung empfiehlt FST einen Kaufpreisabschlag oder eine Escrow-Lösung.</w:t>
      </w:r>
    </w:p>
    <w:p>
      <w:pPr>
        <w:jc w:val="left"/>
      </w:pPr>
      <w:r>
        <w:t>Die kartellrechtlichen Fragen (Nr. 2 und 3) bestimmen den kritischen Zeitpfad: Die CMA-Phase-1-Prüfung dauert in der Regel 40 Arbeitstage ab vollständiger Anmeldung. Beide Behörden müssen freigegeben haben, bevor das Closing vollzogen werden kann.</w:t>
      </w:r>
    </w:p>
    <w:p>
      <w:pPr>
        <w:pStyle w:val="Heading2"/>
      </w:pPr>
      <w:r>
        <w:rPr>
          <w:rFonts w:ascii="Times New Roman" w:hAnsi="Times New Roman"/>
        </w:rPr>
        <w:t>Empfehlung</w:t>
      </w:r>
    </w:p>
    <w:p>
      <w:pPr>
        <w:jc w:val="left"/>
      </w:pPr>
      <w:r>
        <w:t>FST empfiehlt, parallel zur Due Diligence bereits jetzt eine Pre-Notification mit der BKartA und ein informelles Vorabgespräch mit dem BMWK zu führen. Entsprechende Anschreiben werden beigefügt (Anlage: Muster-Pre-Notification BKartA, Muster-Vorabanfrage BMWK).</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Vorstand Volkenrath Energie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Vorstand Volkenrath Energie SE</w:t>
    </w:r>
  </w:p>
  <w:p>
    <w:pPr>
      <w:jc w:val="left"/>
      <w:pBdr>
        <w:bottom w:val="single" w:sz="6" w:space="2" w:color="11555F"/>
      </w:pBdr>
    </w:pPr>
    <w:r>
      <w:rPr>
        <w:rFonts w:ascii="Times New Roman" w:hAnsi="Times New Roman"/>
        <w:color w:val="6B6B66"/>
        <w:sz w:val="16"/>
      </w:rPr>
      <w:t>Unternehmen · Aktenzeichen: FST-2026-0918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