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12 — Rechtsfortbildung: Radarwarner in der Rechtsprechung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RA Dr. Mark Roosendaal</w:t>
      </w:r>
    </w:p>
    <w:p>
      <w:pPr>
        <w:jc w:val="left"/>
      </w:pPr>
      <w:r>
        <w:t>Datum: 18. Januar 2026</w:t>
      </w:r>
    </w:p>
    <w:p>
      <w:pPr>
        <w:pStyle w:val="Heading2"/>
      </w:pPr>
      <w:r>
        <w:rPr>
          <w:rFonts w:ascii="Times New Roman" w:hAnsi="Times New Roman"/>
        </w:rPr>
        <w:t>I. Richterliche Rechtsfortbildung: Methode</w:t>
      </w:r>
    </w:p>
    <w:p>
      <w:pPr>
        <w:jc w:val="left"/>
      </w:pPr>
      <w:r>
        <w:t>Wenn die Auslegung (einschließlich aller vier Kanones) keine befriedigende Lösung ergibt, greift das Gericht zur Rechtsfortbildung. Formen:</w:t>
      </w:r>
    </w:p>
    <w:p>
      <w:pPr>
        <w:pStyle w:val="ListBullet"/>
      </w:pPr>
      <w:r>
        <w:t>Gesetzesimmanente Rechtsfortbildung (Analogie, teleologische Reduktion — innerhalb des Regelungsplans)</w:t>
      </w:r>
    </w:p>
    <w:p>
      <w:pPr>
        <w:pStyle w:val="ListBullet"/>
      </w:pPr>
      <w:r>
        <w:t>Gesetzesübersteigende Rechtsfortbildung (contra legem — nur bei evident untragbaren Ergebnissen, BVerfGE 34, 269, 287)</w:t>
      </w:r>
    </w:p>
    <w:p>
      <w:pPr>
        <w:pStyle w:val="Heading2"/>
      </w:pPr>
      <w:r>
        <w:rPr>
          <w:rFonts w:ascii="Times New Roman" w:hAnsi="Times New Roman"/>
        </w:rPr>
        <w:t>II. Radarwarner in der Rechtsprechung: Überblick</w:t>
      </w:r>
    </w:p>
    <w:p>
      <w:pPr>
        <w:jc w:val="left"/>
      </w:pPr>
      <w:r>
        <w:t>Bislang gibt es keine höchstrichterliche Entscheidung des BGH zu zivilrechtlichen Werklohnansprüchen für den Einbau von Radarwarnern. Die vorhandene Judikatur beschränkt sich auf:</w:t>
      </w:r>
    </w:p>
    <w:p>
      <w:pPr>
        <w:pStyle w:val="ListNumber"/>
      </w:pPr>
      <w:r>
        <w:t>Bußgeldverfahren (OWi-Recht): Zahlreiche OLG-Entscheidungen zur Anwendung des § 23 Abs. 1c StVO (vgl. OLG Hamm, Beschl. v. 22. März 2019, Az. 1 RBs 75/19; OLG Stuttgart, Beschl. v. 14. Juni 2021, Az. 4 Rb 12 Ss 1093/21).</w:t>
      </w:r>
    </w:p>
    <w:p>
      <w:pPr>
        <w:pStyle w:val="ListNumber"/>
      </w:pPr>
      <w:r>
        <w:t>Importrecht: EuGH und BGH zu Radarwarnern als Gütern mit doppeltem Verwendungszweck (dual use); kein zivilrechtlicher Bezug zu Werkverträgen.</w:t>
      </w:r>
    </w:p>
    <w:p>
      <w:pPr>
        <w:pStyle w:val="ListNumber"/>
      </w:pPr>
      <w:r>
        <w:t>Analogie zur Schwarzarbeit: Keine direkte Rechtsprechung zur Übertragbarkeit von BGH VII ZR 235/15.</w:t>
      </w:r>
    </w:p>
    <w:p>
      <w:pPr>
        <w:pStyle w:val="Heading2"/>
      </w:pPr>
      <w:r>
        <w:rPr>
          <w:rFonts w:ascii="Times New Roman" w:hAnsi="Times New Roman"/>
        </w:rPr>
        <w:t>III. Rechtsfortbildungsbedarf</w:t>
      </w:r>
    </w:p>
    <w:p>
      <w:pPr>
        <w:jc w:val="left"/>
      </w:pPr>
      <w:r>
        <w:t>Da Rechtsprechung fehlt, muss im vorliegenden Fall Rechtsfortbildung betrieben werden:</w:t>
      </w:r>
    </w:p>
    <w:p>
      <w:pPr>
        <w:pStyle w:val="ListBullet"/>
      </w:pPr>
      <w:r>
        <w:t>Problem: § 23 Abs. 1c StVO ist eine relativ junge Norm (2014); der Gesetzgeber hat keine zivilrechtliche Klärung vorgenommen</w:t>
      </w:r>
    </w:p>
    <w:p>
      <w:pPr>
        <w:pStyle w:val="ListBullet"/>
      </w:pPr>
      <w:r>
        <w:t>Lücke: Keine Regelung über die zivilrechtlichen Folgen des Vertragsschlusses (nur Ordnungswidrigkeitenrecht)</w:t>
      </w:r>
    </w:p>
    <w:p>
      <w:pPr>
        <w:pStyle w:val="ListBullet"/>
      </w:pPr>
      <w:r>
        <w:t>Fortbildungsergebnis: Anhand der Prinzipien des § 134 BGB (Schutzzwecklehre) ist die Lücke zu schließen: Ein einseitiges Verbot führt nicht zur Nichtigkeit des Werkvertrags</w:t>
      </w:r>
    </w:p>
    <w:p>
      <w:pPr>
        <w:pStyle w:val="Heading2"/>
      </w:pPr>
      <w:r>
        <w:rPr>
          <w:rFonts w:ascii="Times New Roman" w:hAnsi="Times New Roman"/>
        </w:rPr>
        <w:t>IV. Grenzen der Rechtsfortbildung</w:t>
      </w:r>
    </w:p>
    <w:p>
      <w:pPr>
        <w:jc w:val="left"/>
      </w:pPr>
      <w:r>
        <w:t>Eine richterliche Entscheidung, die den Werkvertrag für nichtig erklärt, liefe auf eine gesetzesübersteigende Rechtsfortbildung hinaus — ohne gesetzliche Grundlage und gegen den aus der teleologischen Auslegung gewonnenen Normzweck. Dies wäre nach der Rechtsprechung des BVerfG (BVerfGE 34, 269) unzulässig.</w:t>
      </w:r>
    </w:p>
    <w:p>
      <w:pPr>
        <w:pStyle w:val="Heading2"/>
      </w:pPr>
      <w:r>
        <w:rPr>
          <w:rFonts w:ascii="Times New Roman" w:hAnsi="Times New Roman"/>
        </w:rPr>
        <w:t>V. Ergebnis</w:t>
      </w:r>
    </w:p>
    <w:p>
      <w:pPr>
        <w:jc w:val="left"/>
      </w:pPr>
      <w:r>
        <w:t>Die Rechtsfortbildung bestätigt: Ohne ausdrückliche gesetzgeberische Anordnung und ohne beiderseitigen Verbotscharakter ist § 134 BGB nicht anzuwenden. Gerichte sollten die Lücke durch gesetzesimmanente Rechtsfortbildung (teleologische Reduktion des § 134 BGB) schließen.</w:t>
      </w:r>
    </w:p>
    <w:p>
      <w:pPr>
        <w:pStyle w:val="Heading2"/>
      </w:pPr>
      <w:r>
        <w:rPr>
          <w:rFonts w:ascii="Times New Roman" w:hAnsi="Times New Roman"/>
        </w:rPr>
        <w:t>VI. Quellen</w:t>
      </w:r>
    </w:p>
    <w:p>
      <w:pPr>
        <w:pStyle w:val="ListBullet"/>
      </w:pPr>
      <w:r>
        <w:t>BVerfGE 34, 269 (Soraya): https://www.bundesverfassungsgericht.de/</w:t>
      </w:r>
    </w:p>
    <w:p>
      <w:pPr>
        <w:pStyle w:val="ListBullet"/>
      </w:pPr>
      <w:r>
        <w:t>OLG Hamm, 1 RBs 75/19: https://openjur.de/</w:t>
      </w:r>
    </w:p>
    <w:p>
      <w:pPr>
        <w:pStyle w:val="ListBullet"/>
      </w:pPr>
      <w:r>
        <w:t>§ 134 BGB: https://dejure.org/gesetze/BGB/134.html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Wenn die Auslegung (einschließlich aller vier Kanones) keine befriedigende Lösung ergibt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Wenn die Auslegung (einschließlich aller vier Kanones) keine befriedigende Lösung ergibt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greift das Gericht zur Rechtsfortbildung. Formen: · aktenzeichen: MR-2026-0228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