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Mandatsübernahme Tannenkamp</w:t>
      </w:r>
    </w:p>
    <w:p>
      <w:pPr>
        <w:jc w:val="left"/>
      </w:pPr>
      <w:r>
        <w:rPr>
          <w:b/>
        </w:rPr>
        <w:t>Kanzlei:</w:t>
      </w:r>
      <w:r>
        <w:t xml:space="preserve"> Kupfer-Pfaff &amp; Partner Rechtsanwälte, Karl-Liebknecht-Str. 122, 04277 Leipzig</w:t>
      </w:r>
    </w:p>
    <w:p>
      <w:pPr>
        <w:jc w:val="left"/>
      </w:pPr>
      <w:r>
        <w:rPr>
          <w:b/>
        </w:rPr>
        <w:t>Bearbeiterin:</w:t>
      </w:r>
      <w:r>
        <w:t xml:space="preserve"> RAin Dr. Miriam Kupfer-Pfaff</w:t>
      </w:r>
    </w:p>
    <w:p>
      <w:pPr>
        <w:jc w:val="left"/>
      </w:pPr>
      <w:r>
        <w:rPr>
          <w:b/>
        </w:rPr>
        <w:t>Kanzlei-AZ:</w:t>
      </w:r>
      <w:r>
        <w:t xml:space="preserve"> KP-2026-0387</w:t>
      </w:r>
    </w:p>
    <w:p>
      <w:pPr>
        <w:jc w:val="left"/>
      </w:pPr>
      <w:r>
        <w:rPr>
          <w:b/>
        </w:rPr>
        <w:t>Datum Mandatsannahme:</w:t>
      </w:r>
      <w:r>
        <w:t xml:space="preserve"> 14. Januar 2026</w:t>
      </w:r>
    </w:p>
    <w:p>
      <w:pPr>
        <w:jc w:val="left"/>
      </w:pPr>
      <w:r>
        <w:rPr>
          <w:b/>
        </w:rPr>
        <w:t>Mandant:</w:t>
      </w:r>
      <w:r>
        <w:t xml:space="preserve"> Hannes Tannenkamp, geb. 12.04.1951, Rosenblütenstraße 17, 3. OG links, 04229 Leipzig</w:t>
      </w:r>
    </w:p>
    <w:p/>
    <w:p>
      <w:pPr>
        <w:pStyle w:val="Heading2"/>
      </w:pPr>
      <w:r>
        <w:rPr>
          <w:rFonts w:ascii="Times New Roman" w:hAnsi="Times New Roman"/>
        </w:rPr>
        <w:t>Erstkontakt und Erstgespräch</w:t>
      </w:r>
    </w:p>
    <w:p>
      <w:pPr>
        <w:jc w:val="left"/>
      </w:pPr>
      <w:r>
        <w:t>Herr Hannes Tannenkamp nahm am 09.01.2026 telefonisch Kontakt mit der Kanzlei auf. Er schilderte, sein Vermieter — die Strassburger Immobilien GmbH — habe kurz vor Weihnachten 2025 eine umfangreiche Modernisierungsankündigung zugestellt und gleichzeitig eine erhebliche Mieterhöhung angekündigt. Außerdem bestehe seit ca. acht Monaten ein Schimmelproblem im Bad und im ehemaligen Kinderzimmer, das der Vermieter trotz mehrfacher schriftlicher Meldung nicht beseitige. Tannenkamp wurde durch den Mieterbund Leipzig e.V. an die Kanzlei vermittelt.</w:t>
      </w:r>
    </w:p>
    <w:p>
      <w:pPr>
        <w:jc w:val="left"/>
      </w:pPr>
      <w:r>
        <w:t>Das Erstgespräch fand am 14.01.2026 in den Kanzleiräumen statt (Dauer: 90 Minuten). Anwesend: Dr. Kupfer-Pfaff, Herr Tannenkamp. Mitgebracht: Mietvertrag (Kopie), Modernisierungsankündigung vom 22.12.2025, Schreiben Vermieter wegen Schimmel (3 Stück), eigene Fotos des Schimmels.</w:t>
      </w:r>
    </w:p>
    <w:p/>
    <w:p>
      <w:pPr>
        <w:pStyle w:val="Heading2"/>
      </w:pPr>
      <w:r>
        <w:rPr>
          <w:rFonts w:ascii="Times New Roman" w:hAnsi="Times New Roman"/>
        </w:rPr>
        <w:t>Interessenkonfliktprüfung</w:t>
      </w:r>
    </w:p>
    <w:p>
      <w:pPr>
        <w:jc w:val="left"/>
      </w:pPr>
      <w:r>
        <w:t>Recherche in der Kanzleidatei: Strassburger Immobilien GmbH und Klaus-Ulrich Strassburger-Pellbach sind in keiner laufenden oder abgeschlossenen Akte als Mandanten verzeichnet. Kein Interessenkonflikt gemäß § 43a Abs. 4 BRAO festgestellt.</w:t>
      </w:r>
    </w:p>
    <w:p/>
    <w:p>
      <w:pPr>
        <w:pStyle w:val="Heading2"/>
      </w:pPr>
      <w:r>
        <w:rPr>
          <w:rFonts w:ascii="Times New Roman" w:hAnsi="Times New Roman"/>
        </w:rPr>
        <w:t>Vollmacht</w:t>
      </w:r>
    </w:p>
    <w:p>
      <w:pPr>
        <w:jc w:val="left"/>
      </w:pPr>
      <w:r>
        <w:t>Hannes Tannenkamp erteilte der Kanzlei Kupfer-Pfaff &amp; Partner am 14.01.2026 schriftliche Prozessvollmacht (Formular KP-V-02) für außergerichtliche und gerichtliche Vertretung in sämtlichen das Mietverhältnis Rosenblütenstraße 17, 04229 Leipzig betreffenden Angelegenheiten. Die Vollmacht liegt im Original zur Akte.</w:t>
      </w:r>
    </w:p>
    <w:p/>
    <w:p>
      <w:pPr>
        <w:pStyle w:val="Heading2"/>
      </w:pPr>
      <w:r>
        <w:rPr>
          <w:rFonts w:ascii="Times New Roman" w:hAnsi="Times New Roman"/>
        </w:rPr>
        <w:t>Vergütungsvereinbarung</w:t>
      </w:r>
    </w:p>
    <w:p>
      <w:pPr>
        <w:jc w:val="left"/>
      </w:pPr>
      <w:r>
        <w:t>Vereinbarte Vergütung nach RVG. Beratungsgebühr Erstgespräch 226,10 EUR (inkl. MwSt.) bereits gezahlt. Für das außergerichtliche Mandat: Geschäftsgebühr nach Nr. 2300 VV RVG, Gegenstandswert vorläufig 6.500 EUR. Für gerichtliche Verfahren separate Beauftragung. Prozesskostenfinanzierung über private Rechtsschutzversicherung DEVK (Versicherungsscheinnr. 47-2019-330814); Deckungszusage wird beantragt.</w:t>
      </w:r>
    </w:p>
    <w:p/>
    <w:p>
      <w:pPr>
        <w:pStyle w:val="Heading2"/>
      </w:pPr>
      <w:r>
        <w:rPr>
          <w:rFonts w:ascii="Times New Roman" w:hAnsi="Times New Roman"/>
        </w:rPr>
        <w:t>Sofortmaßnahmen</w:t>
      </w:r>
    </w:p>
    <w:p>
      <w:pPr>
        <w:pStyle w:val="ListNumber"/>
      </w:pPr>
      <w:r>
        <w:t>Deckungsanfrage an DEVK Rechtsschutz versenden.</w:t>
      </w:r>
    </w:p>
    <w:p>
      <w:pPr>
        <w:pStyle w:val="ListNumber"/>
      </w:pPr>
      <w:r>
        <w:t>Beweissicherung Schimmel anordnen (Sachverständiger beauftragen).</w:t>
      </w:r>
    </w:p>
    <w:p>
      <w:pPr>
        <w:pStyle w:val="ListNumber"/>
      </w:pPr>
      <w:r>
        <w:t>Modernisierungsankündigung auf Formvoraussetzungen prüfen (§ 555c BGB).</w:t>
      </w:r>
    </w:p>
    <w:p>
      <w:pPr>
        <w:pStyle w:val="ListNumber"/>
      </w:pPr>
      <w:r>
        <w:t>Mietvertrag und Mietspiegel Leipzig 2026 beschaffen.</w:t>
      </w:r>
    </w:p>
    <w:p>
      <w:pPr>
        <w:pStyle w:val="ListNumber"/>
      </w:pPr>
      <w:r>
        <w:t>Gegenseite mit sofortiger Wirkung identifizieren (Zustelladresse Vermieter prüfen).</w:t>
      </w:r>
    </w:p>
    <w:p/>
    <w:p>
      <w:pPr>
        <w:pStyle w:val="Heading2"/>
      </w:pPr>
      <w:r>
        <w:rPr>
          <w:rFonts w:ascii="Times New Roman" w:hAnsi="Times New Roman"/>
        </w:rPr>
        <w:t>Notiz zur Person</w:t>
      </w:r>
    </w:p>
    <w:p>
      <w:pPr>
        <w:jc w:val="left"/>
      </w:pPr>
      <w:r>
        <w:t>Herr Tannenkamp ist Architekt im Ruhestand, früher freiberuflich tätig, Schwerpunkt Altbausanierung. Er lebt seit dem 01.03.2014 in der Wohnung. Seine Ehefrau verstarb 2021; er bewohnt die Wohnung seither allein. Er bezieht eine gesetzliche Rente von ca. 1.420 EUR/Monat sowie eine Versorgungsrente des Versorgungswerks der Architektenkammer Sachsen von ca. 870 EUR/Monat (brutto). Gesamteinkommen ca. 2.290 EUR/Monat netto. Die angekündigte Mieterhöhung würde seine Nettomietbelastung von ca. 694 EUR auf ca. 1.045 EUR/Monat erhöhen — ein Anstieg um rund 50 %. Herr Tannenkamp ist Sprecher der Quartiers-Initiative „Rettet den Kiez Plagwitz"; er betonte, dass er den Fall auch im Interesse der anderen betroffenen Mieter des Hauses führen möchte.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Kupfer-Pfaff &amp; Partner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KUPFER-PFAFF &amp; PARTNER RECHTSANWÄLTE</w:t>
    </w:r>
  </w:p>
  <w:p>
    <w:pPr>
      <w:jc w:val="left"/>
      <w:pBdr>
        <w:bottom w:val="single" w:sz="8" w:space="2" w:color="2C5230"/>
      </w:pBdr>
    </w:pPr>
    <w:r>
      <w:rPr>
        <w:rFonts w:ascii="Times New Roman" w:hAnsi="Times New Roman"/>
        <w:color w:val="6B6B66"/>
        <w:sz w:val="16"/>
      </w:rPr>
      <w:t>Karl-Liebknecht-Str. 122, 04277 Leipzig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