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03 — Zustands- und Mängelliste Altbau, Rosenblütenstraße 17</w:t>
      </w:r>
    </w:p>
    <w:p>
      <w:pPr>
        <w:jc w:val="left"/>
      </w:pPr>
      <w:r>
        <w:rPr>
          <w:b/>
        </w:rPr>
        <w:t>Kanzlei-AZ:</w:t>
      </w:r>
      <w:r>
        <w:t xml:space="preserve"> KP-2026-0387</w:t>
      </w:r>
    </w:p>
    <w:p>
      <w:pPr>
        <w:jc w:val="left"/>
      </w:pPr>
      <w:r>
        <w:rPr>
          <w:b/>
        </w:rPr>
        <w:t>Erstellt:</w:t>
      </w:r>
      <w:r>
        <w:t xml:space="preserve"> 20.01.2026, aktualisiert 10.02.2026</w:t>
      </w:r>
    </w:p>
    <w:p>
      <w:pPr>
        <w:jc w:val="left"/>
      </w:pPr>
      <w:r>
        <w:rPr>
          <w:b/>
        </w:rPr>
        <w:t>Grundlage:</w:t>
      </w:r>
      <w:r>
        <w:t xml:space="preserve"> Augenschein durch Mandant + eigene Fotos; Messprotokoll Bautrocknung Lehmann GmbH (November 2025); SV-Gutachten Schollbach (28.01.2026)</w:t>
      </w:r>
    </w:p>
    <w:p/>
    <w:p>
      <w:pPr>
        <w:pStyle w:val="Heading2"/>
      </w:pPr>
      <w:r>
        <w:rPr>
          <w:rFonts w:ascii="Times New Roman" w:hAnsi="Times New Roman"/>
        </w:rPr>
        <w:t>Wohnung Tannenkamp — 3. OG links</w:t>
      </w:r>
    </w:p>
    <w:p>
      <w:pPr>
        <w:pStyle w:val="Heading3"/>
      </w:pPr>
      <w:r>
        <w:rPr>
          <w:rFonts w:ascii="Times New Roman" w:hAnsi="Times New Roman"/>
        </w:rPr>
        <w:t>Mangel 1: Schimmel im Badezimmer</w:t>
      </w:r>
    </w:p>
    <w:p>
      <w:pPr>
        <w:pStyle w:val="ListBullet"/>
      </w:pPr>
      <w:r>
        <w:rPr>
          <w:b/>
        </w:rPr>
        <w:t>Lage:</w:t>
      </w:r>
      <w:r>
        <w:t xml:space="preserve"> Außenwandfläche hinter Handtuchhalter sowie Fensterlaibung unten links</w:t>
      </w:r>
    </w:p>
    <w:p>
      <w:pPr>
        <w:pStyle w:val="ListBullet"/>
      </w:pPr>
      <w:r>
        <w:rPr>
          <w:b/>
        </w:rPr>
        <w:t>Erstmals festgestellt:</w:t>
      </w:r>
      <w:r>
        <w:t xml:space="preserve"> Juli 2025</w:t>
      </w:r>
    </w:p>
    <w:p>
      <w:pPr>
        <w:pStyle w:val="ListBullet"/>
      </w:pPr>
      <w:r>
        <w:rPr>
          <w:b/>
        </w:rPr>
        <w:t>Erstmals gemeldet:</w:t>
      </w:r>
      <w:r>
        <w:t xml:space="preserve"> 12.08.2025 (Einschreiben Rückschein, Einlieferungsbeleg liegt vor)</w:t>
      </w:r>
    </w:p>
    <w:p>
      <w:pPr>
        <w:pStyle w:val="ListBullet"/>
      </w:pPr>
      <w:r>
        <w:rPr>
          <w:b/>
        </w:rPr>
        <w:t>Schimmelart laut SV Schollbach:</w:t>
      </w:r>
      <w:r>
        <w:t xml:space="preserve"> Cladosporium sphaerospermum (überwiegend), Sporendichte erhöht</w:t>
      </w:r>
    </w:p>
    <w:p>
      <w:pPr>
        <w:pStyle w:val="ListBullet"/>
      </w:pPr>
      <w:r>
        <w:rPr>
          <w:b/>
        </w:rPr>
        <w:t>Ursache laut SV:</w:t>
      </w:r>
      <w:r>
        <w:t xml:space="preserve"> Wärmebrücke an ungedämmter Außenwand; Tauwasserausfall auf der Raumseitenoberfläche; kein Lüftungsfehler des Mieters (Luftfeuchtemessprotokoll 14 Tage, unauffällig)</w:t>
      </w:r>
    </w:p>
    <w:p>
      <w:pPr>
        <w:pStyle w:val="ListBullet"/>
      </w:pPr>
      <w:r>
        <w:rPr>
          <w:b/>
        </w:rPr>
        <w:t>Minderungsquote (Empfehlung SV):</w:t>
      </w:r>
      <w:r>
        <w:t xml:space="preserve"> 10–15 % der Nettokaltmiete</w:t>
      </w:r>
    </w:p>
    <w:p>
      <w:pPr>
        <w:pStyle w:val="ListBullet"/>
      </w:pPr>
      <w:r>
        <w:rPr>
          <w:b/>
        </w:rPr>
        <w:t>Normgrundlage:</w:t>
      </w:r>
      <w:r>
        <w:t xml:space="preserve"> § 536 Abs. 1 BGB; BGH VIII ZR 271/17 (Urt. v. 05.12.2018)</w:t>
      </w:r>
    </w:p>
    <w:p>
      <w:pPr>
        <w:pStyle w:val="ListBullet"/>
      </w:pPr>
      <w:r>
        <w:rPr>
          <w:b/>
        </w:rPr>
        <w:t>Foto:</w:t>
      </w:r>
      <w:r>
        <w:t xml:space="preserve"> </w:t>
      </w:r>
      <w:r>
        <w:t>jpg/schimmel-im-bad-foto.jpg</w:t>
      </w:r>
    </w:p>
    <w:p>
      <w:pPr>
        <w:pStyle w:val="ListBullet"/>
      </w:pPr>
      <w:r>
        <w:rPr>
          <w:b/>
        </w:rPr>
        <w:t>Status:</w:t>
      </w:r>
      <w:r>
        <w:t xml:space="preserve"> Nicht behoben; Vermieter bestreitet Verantwortlichkeit</w:t>
      </w:r>
    </w:p>
    <w:p>
      <w:pPr>
        <w:pStyle w:val="Heading3"/>
      </w:pPr>
      <w:r>
        <w:rPr>
          <w:rFonts w:ascii="Times New Roman" w:hAnsi="Times New Roman"/>
        </w:rPr>
        <w:t>Mangel 2: Schimmel im ehemaligen Kinderzimmer (Arbeitszimmer)</w:t>
      </w:r>
    </w:p>
    <w:p>
      <w:pPr>
        <w:pStyle w:val="ListBullet"/>
      </w:pPr>
      <w:r>
        <w:rPr>
          <w:b/>
        </w:rPr>
        <w:t>Lage:</w:t>
      </w:r>
      <w:r>
        <w:t xml:space="preserve"> Außenwandfläche hinter dem Bücherregal (Nordwestecke)</w:t>
      </w:r>
    </w:p>
    <w:p>
      <w:pPr>
        <w:pStyle w:val="ListBullet"/>
      </w:pPr>
      <w:r>
        <w:rPr>
          <w:b/>
        </w:rPr>
        <w:t>Erstmals festgestellt:</w:t>
      </w:r>
      <w:r>
        <w:t xml:space="preserve"> August 2025 (nach Umstellen des Regals im Rahmen Renovierung)</w:t>
      </w:r>
    </w:p>
    <w:p>
      <w:pPr>
        <w:pStyle w:val="ListBullet"/>
      </w:pPr>
      <w:r>
        <w:rPr>
          <w:b/>
        </w:rPr>
        <w:t>Erstmals gemeldet:</w:t>
      </w:r>
      <w:r>
        <w:t xml:space="preserve"> 03.09.2025 (Einschreiben, Einlieferungsbeleg liegt vor)</w:t>
      </w:r>
    </w:p>
    <w:p>
      <w:pPr>
        <w:pStyle w:val="ListBullet"/>
      </w:pPr>
      <w:r>
        <w:rPr>
          <w:b/>
        </w:rPr>
        <w:t>Schimmelart laut SV Schollbach:</w:t>
      </w:r>
      <w:r>
        <w:t xml:space="preserve"> Aspergillus niger; Befall ca. 0,35 m²</w:t>
      </w:r>
    </w:p>
    <w:p>
      <w:pPr>
        <w:pStyle w:val="ListBullet"/>
      </w:pPr>
      <w:r>
        <w:rPr>
          <w:b/>
        </w:rPr>
        <w:t>Ursache laut SV:</w:t>
      </w:r>
      <w:r>
        <w:t xml:space="preserve"> Gleiche Wärmebrücke wie Bad (Gebäudeeck); keine Kondensation durch Mieterverhalten nachweisbar</w:t>
      </w:r>
    </w:p>
    <w:p>
      <w:pPr>
        <w:pStyle w:val="ListBullet"/>
      </w:pPr>
      <w:r>
        <w:rPr>
          <w:b/>
        </w:rPr>
        <w:t>Minderungsquote (Empfehlung SV):</w:t>
      </w:r>
      <w:r>
        <w:t xml:space="preserve"> 5 % zusätzlich</w:t>
      </w:r>
    </w:p>
    <w:p>
      <w:pPr>
        <w:pStyle w:val="ListBullet"/>
      </w:pPr>
      <w:r>
        <w:rPr>
          <w:b/>
        </w:rPr>
        <w:t>Status:</w:t>
      </w:r>
      <w:r>
        <w:t xml:space="preserve"> Nicht behoben</w:t>
      </w:r>
    </w:p>
    <w:p>
      <w:pPr>
        <w:pStyle w:val="Heading3"/>
      </w:pPr>
      <w:r>
        <w:rPr>
          <w:rFonts w:ascii="Times New Roman" w:hAnsi="Times New Roman"/>
        </w:rPr>
        <w:t>Mangel 3: Defekte Balkonbrüstung</w:t>
      </w:r>
    </w:p>
    <w:p>
      <w:pPr>
        <w:pStyle w:val="ListBullet"/>
      </w:pPr>
      <w:r>
        <w:rPr>
          <w:b/>
        </w:rPr>
        <w:t>Lage:</w:t>
      </w:r>
      <w:r>
        <w:t xml:space="preserve"> Balkon Wohnzimmer; Eisenstäbe korrodiert, Putz abgebrochen (ca. 1,2 lfdm)</w:t>
      </w:r>
    </w:p>
    <w:p>
      <w:pPr>
        <w:pStyle w:val="ListBullet"/>
      </w:pPr>
      <w:r>
        <w:rPr>
          <w:b/>
        </w:rPr>
        <w:t>Gemeldet:</w:t>
      </w:r>
      <w:r>
        <w:t xml:space="preserve"> 14.03.2025</w:t>
      </w:r>
    </w:p>
    <w:p>
      <w:pPr>
        <w:pStyle w:val="ListBullet"/>
      </w:pPr>
      <w:r>
        <w:rPr>
          <w:b/>
        </w:rPr>
        <w:t>Vermieter-Reaktion:</w:t>
      </w:r>
      <w:r>
        <w:t xml:space="preserve"> Besichtigung angekündigt, nicht durchgeführt</w:t>
      </w:r>
    </w:p>
    <w:p>
      <w:pPr>
        <w:pStyle w:val="ListBullet"/>
      </w:pPr>
      <w:r>
        <w:rPr>
          <w:b/>
        </w:rPr>
        <w:t>Minderungsquote:</w:t>
      </w:r>
      <w:r>
        <w:t xml:space="preserve"> noch nicht geltend gemacht (erst seit Mandatsübernahme aktuell)</w:t>
      </w:r>
    </w:p>
    <w:p>
      <w:pPr>
        <w:pStyle w:val="ListBullet"/>
      </w:pPr>
      <w:r>
        <w:rPr>
          <w:b/>
        </w:rPr>
        <w:t>Status:</w:t>
      </w:r>
      <w:r>
        <w:t xml:space="preserve"> offen</w:t>
      </w:r>
    </w:p>
    <w:p>
      <w:pPr>
        <w:pStyle w:val="Heading3"/>
      </w:pPr>
      <w:r>
        <w:rPr>
          <w:rFonts w:ascii="Times New Roman" w:hAnsi="Times New Roman"/>
        </w:rPr>
        <w:t>Mangel 4: Undichtes Dachfenster Treppenhaus (mittelbarer Bezug)</w:t>
      </w:r>
    </w:p>
    <w:p>
      <w:pPr>
        <w:pStyle w:val="ListBullet"/>
      </w:pPr>
      <w:r>
        <w:rPr>
          <w:b/>
        </w:rPr>
        <w:t>Lage:</w:t>
      </w:r>
      <w:r>
        <w:t xml:space="preserve"> Dachfenster 3./4. OG Treppenhaus; bei Starkregen läuft Wasser durch</w:t>
      </w:r>
    </w:p>
    <w:p>
      <w:pPr>
        <w:pStyle w:val="ListBullet"/>
      </w:pPr>
      <w:r>
        <w:rPr>
          <w:b/>
        </w:rPr>
        <w:t>Gemeldet durch Hausverwaltung-Aushang:</w:t>
      </w:r>
      <w:r>
        <w:t xml:space="preserve"> Oktober 2024; noch offen</w:t>
      </w:r>
    </w:p>
    <w:p>
      <w:pPr>
        <w:pStyle w:val="ListBullet"/>
      </w:pPr>
      <w:r>
        <w:rPr>
          <w:b/>
        </w:rPr>
        <w:t>Relevanz Tannenkamp:</w:t>
      </w:r>
      <w:r>
        <w:t xml:space="preserve"> Schäden am Treppenabgang seiner Etage; Nassfleck an Wohnungsdecke im Flur (ca. 0,10 m²)</w:t>
      </w:r>
    </w:p>
    <w:p>
      <w:pPr>
        <w:pStyle w:val="ListBullet"/>
      </w:pPr>
      <w:r>
        <w:rPr>
          <w:b/>
        </w:rPr>
        <w:t>Status:</w:t>
      </w:r>
      <w:r>
        <w:t xml:space="preserve"> offen</w:t>
      </w:r>
    </w:p>
    <w:p>
      <w:pPr>
        <w:pStyle w:val="Heading3"/>
      </w:pPr>
      <w:r>
        <w:rPr>
          <w:rFonts w:ascii="Times New Roman" w:hAnsi="Times New Roman"/>
        </w:rPr>
        <w:t>Mangel 5: Heizungsanlage — unregelmäßige Wärmelieferung</w:t>
      </w:r>
    </w:p>
    <w:p>
      <w:pPr>
        <w:pStyle w:val="ListBullet"/>
      </w:pPr>
      <w:r>
        <w:rPr>
          <w:b/>
        </w:rPr>
        <w:t>Sachverhalt:</w:t>
      </w:r>
      <w:r>
        <w:t xml:space="preserve"> In den Monaten Oktober–Dezember 2025 war in mehreren Perioden (insgesamt ca. 12 Tage) die Raumtemperatur auf unter 18 °C abgesunken (Eigenprotokoll Tannenkamp mit Digitalhygrometer)</w:t>
      </w:r>
    </w:p>
    <w:p>
      <w:pPr>
        <w:pStyle w:val="ListBullet"/>
      </w:pPr>
      <w:r>
        <w:rPr>
          <w:b/>
        </w:rPr>
        <w:t>Normgrundlage:</w:t>
      </w:r>
      <w:r>
        <w:t xml:space="preserve"> § 535 Abs. 1 Satz 2 BGB; anerkannte Mindesttemperatur von 20 °C tagsüber</w:t>
      </w:r>
    </w:p>
    <w:p>
      <w:pPr>
        <w:pStyle w:val="ListBullet"/>
      </w:pPr>
      <w:r>
        <w:rPr>
          <w:b/>
        </w:rPr>
        <w:t>Gemeldet:</w:t>
      </w:r>
      <w:r>
        <w:t xml:space="preserve"> 07.11.2025 (E-Mail an Hausverwaltung)</w:t>
      </w:r>
    </w:p>
    <w:p>
      <w:pPr>
        <w:pStyle w:val="ListBullet"/>
      </w:pPr>
      <w:r>
        <w:rPr>
          <w:b/>
        </w:rPr>
        <w:t>Status:</w:t>
      </w:r>
      <w:r>
        <w:t xml:space="preserve"> Vermieter bestätigte „vorübergehende technische Störung"; Protokoll liegt vor</w:t>
      </w:r>
    </w:p>
    <w:p/>
    <w:p>
      <w:pPr>
        <w:pStyle w:val="Heading2"/>
      </w:pPr>
      <w:r>
        <w:rPr>
          <w:rFonts w:ascii="Times New Roman" w:hAnsi="Times New Roman"/>
        </w:rPr>
        <w:t>Zustand des Gemeinschaftseigentums (soweit relevant)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Bereich</w:t>
            </w:r>
          </w:p>
        </w:tc>
        <w:tc>
          <w:tcPr>
            <w:tcW w:type="dxa" w:w="3024"/>
          </w:tcPr>
          <w:p>
            <w:r>
              <w:rPr>
                <w:rFonts w:ascii="Times New Roman" w:hAnsi="Times New Roman"/>
                <w:b/>
                <w:sz w:val="20"/>
              </w:rPr>
              <w:t>Zustand</w:t>
            </w:r>
          </w:p>
        </w:tc>
        <w:tc>
          <w:tcPr>
            <w:tcW w:type="dxa" w:w="3024"/>
          </w:tcPr>
          <w:p>
            <w:r>
              <w:rPr>
                <w:rFonts w:ascii="Times New Roman" w:hAnsi="Times New Roman"/>
                <w:b/>
                <w:sz w:val="20"/>
              </w:rPr>
              <w:t>Meldung</w:t>
            </w:r>
          </w:p>
        </w:tc>
      </w:tr>
      <w:tr>
        <w:tc>
          <w:tcPr>
            <w:tcW w:type="dxa" w:w="3024"/>
          </w:tcPr>
          <w:p>
            <w:r>
              <w:rPr>
                <w:rFonts w:ascii="Times New Roman" w:hAnsi="Times New Roman"/>
                <w:sz w:val="20"/>
              </w:rPr>
              <w:t>Aufzug</w:t>
            </w:r>
          </w:p>
        </w:tc>
        <w:tc>
          <w:tcPr>
            <w:tcW w:type="dxa" w:w="3024"/>
          </w:tcPr>
          <w:p>
            <w:r>
              <w:rPr>
                <w:rFonts w:ascii="Times New Roman" w:hAnsi="Times New Roman"/>
                <w:sz w:val="20"/>
              </w:rPr>
              <w:t>Funktionsfähig; letzter TÜV 03.2025</w:t>
            </w:r>
          </w:p>
        </w:tc>
        <w:tc>
          <w:tcPr>
            <w:tcW w:type="dxa" w:w="3024"/>
          </w:tcPr>
          <w:p>
            <w:r>
              <w:rPr>
                <w:rFonts w:ascii="Times New Roman" w:hAnsi="Times New Roman"/>
                <w:sz w:val="20"/>
              </w:rPr>
              <w:t>—</w:t>
            </w:r>
          </w:p>
        </w:tc>
      </w:tr>
      <w:tr>
        <w:tc>
          <w:tcPr>
            <w:tcW w:type="dxa" w:w="3024"/>
          </w:tcPr>
          <w:p>
            <w:r>
              <w:rPr>
                <w:rFonts w:ascii="Times New Roman" w:hAnsi="Times New Roman"/>
                <w:sz w:val="20"/>
              </w:rPr>
              <w:t>Treppenhaus</w:t>
            </w:r>
          </w:p>
        </w:tc>
        <w:tc>
          <w:tcPr>
            <w:tcW w:type="dxa" w:w="3024"/>
          </w:tcPr>
          <w:p>
            <w:r>
              <w:rPr>
                <w:rFonts w:ascii="Times New Roman" w:hAnsi="Times New Roman"/>
                <w:sz w:val="20"/>
              </w:rPr>
              <w:t>Fliesenriss im EG; Handlauf wackelt im 2. OG</w:t>
            </w:r>
          </w:p>
        </w:tc>
        <w:tc>
          <w:tcPr>
            <w:tcW w:type="dxa" w:w="3024"/>
          </w:tcPr>
          <w:p>
            <w:r>
              <w:rPr>
                <w:rFonts w:ascii="Times New Roman" w:hAnsi="Times New Roman"/>
                <w:sz w:val="20"/>
              </w:rPr>
              <w:t>Oktober 2025</w:t>
            </w:r>
          </w:p>
        </w:tc>
      </w:tr>
      <w:tr>
        <w:tc>
          <w:tcPr>
            <w:tcW w:type="dxa" w:w="3024"/>
          </w:tcPr>
          <w:p>
            <w:r>
              <w:rPr>
                <w:rFonts w:ascii="Times New Roman" w:hAnsi="Times New Roman"/>
                <w:sz w:val="20"/>
              </w:rPr>
              <w:t>Keller</w:t>
            </w:r>
          </w:p>
        </w:tc>
        <w:tc>
          <w:tcPr>
            <w:tcW w:type="dxa" w:w="3024"/>
          </w:tcPr>
          <w:p>
            <w:r>
              <w:rPr>
                <w:rFonts w:ascii="Times New Roman" w:hAnsi="Times New Roman"/>
                <w:sz w:val="20"/>
              </w:rPr>
              <w:t>Feuchtigkeitsschäden sichtbar; kein Schaden Tannenkamp-Kellerraum</w:t>
            </w:r>
          </w:p>
        </w:tc>
        <w:tc>
          <w:tcPr>
            <w:tcW w:type="dxa" w:w="3024"/>
          </w:tcPr>
          <w:p>
            <w:r>
              <w:rPr>
                <w:rFonts w:ascii="Times New Roman" w:hAnsi="Times New Roman"/>
                <w:sz w:val="20"/>
              </w:rPr>
              <w:t>—</w:t>
            </w:r>
          </w:p>
        </w:tc>
      </w:tr>
      <w:tr>
        <w:tc>
          <w:tcPr>
            <w:tcW w:type="dxa" w:w="3024"/>
          </w:tcPr>
          <w:p>
            <w:r>
              <w:rPr>
                <w:rFonts w:ascii="Times New Roman" w:hAnsi="Times New Roman"/>
                <w:sz w:val="20"/>
              </w:rPr>
              <w:t>Hof</w:t>
            </w:r>
          </w:p>
        </w:tc>
        <w:tc>
          <w:tcPr>
            <w:tcW w:type="dxa" w:w="3024"/>
          </w:tcPr>
          <w:p>
            <w:r>
              <w:rPr>
                <w:rFonts w:ascii="Times New Roman" w:hAnsi="Times New Roman"/>
                <w:sz w:val="20"/>
              </w:rPr>
              <w:t>Pflasterschäden</w:t>
            </w:r>
          </w:p>
        </w:tc>
        <w:tc>
          <w:tcPr>
            <w:tcW w:type="dxa" w:w="3024"/>
          </w:tcPr>
          <w:p>
            <w:r>
              <w:rPr>
                <w:rFonts w:ascii="Times New Roman" w:hAnsi="Times New Roman"/>
                <w:sz w:val="20"/>
              </w:rPr>
              <w:t>—</w:t>
            </w:r>
          </w:p>
        </w:tc>
      </w:tr>
      <w:tr>
        <w:tc>
          <w:tcPr>
            <w:tcW w:type="dxa" w:w="3024"/>
          </w:tcPr>
          <w:p>
            <w:r>
              <w:rPr>
                <w:rFonts w:ascii="Times New Roman" w:hAnsi="Times New Roman"/>
                <w:sz w:val="20"/>
              </w:rPr>
              <w:t>Dachfenster Treppenhaus</w:t>
            </w:r>
          </w:p>
        </w:tc>
        <w:tc>
          <w:tcPr>
            <w:tcW w:type="dxa" w:w="3024"/>
          </w:tcPr>
          <w:p>
            <w:r>
              <w:rPr>
                <w:rFonts w:ascii="Times New Roman" w:hAnsi="Times New Roman"/>
                <w:sz w:val="20"/>
              </w:rPr>
              <w:t>Undicht (s.o.)</w:t>
            </w:r>
          </w:p>
        </w:tc>
        <w:tc>
          <w:tcPr>
            <w:tcW w:type="dxa" w:w="3024"/>
          </w:tcPr>
          <w:p>
            <w:r>
              <w:rPr>
                <w:rFonts w:ascii="Times New Roman" w:hAnsi="Times New Roman"/>
                <w:sz w:val="20"/>
              </w:rPr>
              <w:t>Oktober 2024</w:t>
            </w:r>
          </w:p>
        </w:tc>
      </w:tr>
    </w:tbl>
    <w:p/>
    <w:p>
      <w:pPr>
        <w:pStyle w:val="Heading2"/>
      </w:pPr>
      <w:r>
        <w:rPr>
          <w:rFonts w:ascii="Times New Roman" w:hAnsi="Times New Roman"/>
        </w:rPr>
        <w:t>Rechtliche Bewertung</w:t>
      </w:r>
    </w:p>
    <w:p>
      <w:pPr>
        <w:jc w:val="left"/>
      </w:pPr>
      <w:r>
        <w:t>Sämtliche Mängel 1 und 2 begründen eine Minderung nach § 536 Abs. 1 BGB, da die Gebrauchstauglichkeit der Wohnung durch den Schimmelbefall erheblich beeinträchtigt ist. Die BGH-Rechtsprechung (VIII ZR 271/17) stellt klar, dass bei baustrukturell bedingtem Schimmel die Beweislast für einen Lüftungsfehler des Mieters beim Vermieter liegt, wenn die Außentemperatur im kritischen Bereich lag und das Nutzerverhalten unauffällig ist. Das Sachverständigengutachten Schollbach belegt, dass dies hier der Fall ist.</w:t>
      </w:r>
    </w:p>
    <w:p>
      <w:pPr>
        <w:jc w:val="left"/>
      </w:pPr>
      <w:r>
        <w:t xml:space="preserve">Die Gesamtminderungsquote wird für den Zeitraum ab Mängelanzeige (12.08.2025) auf </w:t>
      </w:r>
      <w:r>
        <w:rPr>
          <w:b/>
        </w:rPr>
        <w:t>12 % der Nettokaltmiete</w:t>
      </w:r>
      <w:r>
        <w:t xml:space="preserve"> angesetzt (Bad: 10 %, Kinderzimmer: 5 %, wegen Überschneidung kumuliert auf 12 %). Dies entspricht einer monatlichen Minderung von 83,84 EUR (698,65 EUR × 12 %).</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Messprotokoll Bautrocknung Lehmann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Messprotokoll Bautrocknung Lehmann 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