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04 — Mietminderungs-Tabelle und BGH-Rechtsprechung</w:t>
      </w:r>
    </w:p>
    <w:p>
      <w:pPr>
        <w:jc w:val="left"/>
      </w:pPr>
      <w:r>
        <w:rPr>
          <w:b/>
        </w:rPr>
        <w:t>Kanzlei-AZ:</w:t>
      </w:r>
      <w:r>
        <w:t xml:space="preserve"> KP-2026-0387</w:t>
      </w:r>
    </w:p>
    <w:p>
      <w:pPr>
        <w:jc w:val="left"/>
      </w:pPr>
      <w:r>
        <w:rPr>
          <w:b/>
        </w:rPr>
        <w:t>Erstellt:</w:t>
      </w:r>
      <w:r>
        <w:t xml:space="preserve"> 22.01.2026</w:t>
      </w:r>
    </w:p>
    <w:p>
      <w:pPr>
        <w:jc w:val="left"/>
      </w:pPr>
      <w:r>
        <w:rPr>
          <w:b/>
        </w:rPr>
        <w:t>Zweck:</w:t>
      </w:r>
      <w:r>
        <w:t xml:space="preserve"> Orientierungstabelle Minderungsquoten; Grundlage für Klagebegründung AG Leipzig</w:t>
      </w:r>
    </w:p>
    <w:p/>
    <w:p>
      <w:pPr>
        <w:pStyle w:val="Heading2"/>
      </w:pPr>
      <w:r>
        <w:rPr>
          <w:rFonts w:ascii="Times New Roman" w:hAnsi="Times New Roman"/>
        </w:rPr>
        <w:t>BGH-Leitlinien zur Mietminderung (§ 536 BGB)</w:t>
      </w:r>
    </w:p>
    <w:p>
      <w:pPr>
        <w:pStyle w:val="Heading3"/>
      </w:pPr>
      <w:r>
        <w:rPr>
          <w:rFonts w:ascii="Times New Roman" w:hAnsi="Times New Roman"/>
        </w:rPr>
        <w:t>Grundsätze</w:t>
      </w:r>
    </w:p>
    <w:p>
      <w:pPr>
        <w:pStyle w:val="ListNumber"/>
      </w:pPr>
      <w:r>
        <w:t>Mietminderung tritt kraft Gesetzes ein (§ 536 Abs. 1 Satz 1 BGB) — keine Erklärung erforderlich, aber praktisch ratsam.</w:t>
      </w:r>
    </w:p>
    <w:p>
      <w:pPr>
        <w:pStyle w:val="ListNumber"/>
      </w:pPr>
      <w:r>
        <w:t>Maßgeblicher Minderungszeitpunkt: Entstehen des Mangels, nicht dessen Rüge; jedoch empfiehlt sich die Rüge zur Beweissicherung.</w:t>
      </w:r>
    </w:p>
    <w:p>
      <w:pPr>
        <w:pStyle w:val="ListNumber"/>
      </w:pPr>
      <w:r>
        <w:t>Minderungsquoten sind immer Einzelfallentscheidungen; Tabellenwerte dienen der Orientierung (BGH Urt. v. 29.02.2012 — VIII ZR 155/11).</w:t>
      </w:r>
    </w:p>
    <w:p>
      <w:pPr>
        <w:pStyle w:val="ListNumber"/>
      </w:pPr>
      <w:r>
        <w:t>Unerhebliche Mängel mindern nicht (§ 536 Abs. 1 Satz 3 BGB).</w:t>
      </w:r>
    </w:p>
    <w:p>
      <w:pPr>
        <w:pStyle w:val="ListNumber"/>
      </w:pPr>
      <w:r>
        <w:t>Kenntnis des Mieters bei Vertragsschluss schließt Minderung aus (§ 536b BGB).</w:t>
      </w:r>
    </w:p>
    <w:p>
      <w:pPr>
        <w:pStyle w:val="Heading3"/>
      </w:pPr>
      <w:r>
        <w:rPr>
          <w:rFonts w:ascii="Times New Roman" w:hAnsi="Times New Roman"/>
        </w:rPr>
        <w:t>BGH-Urteil VIII ZR 271/17 — Schimmel und Lüftungspflicht</w:t>
      </w:r>
    </w:p>
    <w:p>
      <w:pPr>
        <w:pStyle w:val="ListBullet"/>
      </w:pPr>
      <w:r>
        <w:rPr>
          <w:b/>
        </w:rPr>
        <w:t>Urteil:</w:t>
      </w:r>
      <w:r>
        <w:t xml:space="preserve"> BGH, Urt. v. 05.12.2018, VIII ZR 271/17</w:t>
      </w:r>
    </w:p>
    <w:p>
      <w:pPr>
        <w:pStyle w:val="ListBullet"/>
      </w:pPr>
      <w:r>
        <w:rPr>
          <w:b/>
        </w:rPr>
        <w:t>Leitsatz (vereinfacht):</w:t>
      </w:r>
      <w:r>
        <w:t xml:space="preserve"> Der Vermieter trägt die Darlegungs- und Beweislast für einen Lüftungsfehler des Mieters als Ursache des Schimmels, wenn der Mangel an einer strukturell problematischen Stelle auftritt (Außenwandecken, Wärmebrücken, ungedämmte Altbauaußenwände).</w:t>
      </w:r>
    </w:p>
    <w:p>
      <w:pPr>
        <w:pStyle w:val="ListBullet"/>
      </w:pPr>
      <w:r>
        <w:rPr>
          <w:b/>
        </w:rPr>
        <w:t>Bedeutung für Tannenkamp-Akte:</w:t>
      </w:r>
      <w:r>
        <w:t xml:space="preserve"> Das SV-Gutachten Schollbach stellt eine Wärmebrücke fest und dokumentiert ein unauffälliges Lüftungsverhalten. Der Vermieter kann sich nicht allein auf den Einwand des Lüftungsfehlers stützen.</w:t>
      </w:r>
    </w:p>
    <w:p>
      <w:pPr>
        <w:pStyle w:val="ListBullet"/>
      </w:pPr>
      <w:r>
        <w:rPr>
          <w:b/>
        </w:rPr>
        <w:t>Quelle:</w:t>
      </w:r>
      <w:r>
        <w:t xml:space="preserve"> www.bundesgerichtshof.de/SharedDocs/Entscheidungen/DE/2018/12/VIII_ZR_271_17.html</w:t>
      </w:r>
    </w:p>
    <w:p>
      <w:pPr>
        <w:pStyle w:val="Heading3"/>
      </w:pPr>
      <w:r>
        <w:rPr>
          <w:rFonts w:ascii="Times New Roman" w:hAnsi="Times New Roman"/>
        </w:rPr>
        <w:t>Weitere relevante BGH-Entscheidungen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Az.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Thema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Leitsatz (Kurzform)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BGH VIII ZR 271/17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05.12.2018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Schimmel / Beweislast Lüftungsfehler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Vermieter trägt Beweislast bei Wärmebrücken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BGH VIII ZR 155/11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29.02.2012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Minderungsquoten allgemein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Tatrichterliche Schätzung; keine starren Tabellen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BGH VIII ZR 103/14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17.06.2015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Betriebskostenabrechnung Aufzug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Aufzugskosten nicht auf EG-Mieter umlegbar wenn kein Zugang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BGH VIII ZR 281/03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16.02.2005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Beheizbarkeit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Pflicht zur Beheizung auf mindestens 20 °C tagsüber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BGH VIII ZR 100/15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18.11.2015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Ankündigung Modernisierung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Formvoraussetzungen § 555c BGB streng zu prüfen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Orientierungstabelle Minderungsquoten (Altbau, vergleichbare Entscheidungen)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Mangel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Minderungsquote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Gerichtsinstanz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Quelle / Nachweis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Schimmel im Bad (Wärmebrücke, strukturell)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10–15 %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LG Berlin u.a.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LG Berlin 65 S 183/17; BGH VIII ZR 271/17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Schimmel im Schlafzimmer (großflächig)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15–20 %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AG Frankfurt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AG Frankfurt 33 C 2981/18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Schimmel im Kinderzimmer (ca. 0,3 m²)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5–10 %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AG München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AG München 411 C 12003/19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Unzureichende Beheizung unter 18 °C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20–30 %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LG Hamburg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LG Hamburg 316 S 77/20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Defekte Balkonbrüstung (Sicherheitsmangel)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5–10 %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AG Leipzig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AG Leipzig 164 C 2003/22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Undichtes Fenster (Zugluft)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5–8 %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AG Köln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AG Köln 213 C 118/16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Ausfall Aufzug (Mieter abhängig)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3–5 %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LG Berlin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LG Berlin 67 S 204/21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Kombination Schimmel Bad + Kinderzimmer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12 % (kumuliert)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vorliegende Einschätzung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Gutachten Schollbach; BGH-Linie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Berechnung Minderung Tannenkamp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Nettokaltmiete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698,65 EUR/Monat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Minderungsquote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12 %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Monatliche Minderung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83,84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Zeitraum Rückforderung (ab 12.08.2025 bis 31.01.2026)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5,5 Monate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Gesamtrückforderung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461,10 EUR</w:t>
            </w:r>
          </w:p>
        </w:tc>
      </w:tr>
    </w:tbl>
    <w:p>
      <w:pPr>
        <w:jc w:val="left"/>
      </w:pPr>
      <w:r>
        <w:t>Für den Klagezeitraum (ab 01.02.2026 bis laufend) wird zusätzlich Feststellung der laufenden Minderung beantragt.</w:t>
      </w:r>
    </w:p>
    <w:p/>
    <w:p>
      <w:pPr>
        <w:pStyle w:val="Heading2"/>
      </w:pPr>
      <w:r>
        <w:rPr>
          <w:rFonts w:ascii="Times New Roman" w:hAnsi="Times New Roman"/>
        </w:rPr>
        <w:t>Hinweis zur Minderungserklärung</w:t>
      </w:r>
    </w:p>
    <w:p>
      <w:pPr>
        <w:jc w:val="left"/>
      </w:pPr>
      <w:r>
        <w:t>Tannenkamp hat die Minderung erstmals mit anwaltlichem Schreiben vom 28.01.2026 formell erklärt und rückwirkend ab 12.08.2025 (Datum erster Mängelanzeige) geltend gemacht. Die Gegenseite (RA Boden-Kassau) hat dies mit Schreiben vom 11.02.2026 zurückgewiesen. Eine einvernehmliche Lösung ist nicht erzielt worden, daher Klageerhebung.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Klagebegründung AG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7B2D3B"/>
        <w:sz w:val="24"/>
      </w:rPr>
      <w:t>Klagebegründung AG</w:t>
    </w:r>
  </w:p>
  <w:p>
    <w:pPr>
      <w:jc w:val="left"/>
      <w:pBdr>
        <w:bottom w:val="single" w:sz="6" w:space="2" w:color="7B2D3B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