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Modernisierungsankündigung Vermieter, Prüfung §§ 555b–d BGB</w:t>
      </w:r>
    </w:p>
    <w:p>
      <w:pPr>
        <w:jc w:val="left"/>
      </w:pPr>
      <w:r>
        <w:rPr>
          <w:b/>
        </w:rPr>
        <w:t>Kanzlei-AZ:</w:t>
      </w:r>
      <w:r>
        <w:t xml:space="preserve"> KP-2026-0387</w:t>
      </w:r>
    </w:p>
    <w:p>
      <w:pPr>
        <w:jc w:val="left"/>
      </w:pPr>
      <w:r>
        <w:rPr>
          <w:b/>
        </w:rPr>
        <w:t>Erstellt:</w:t>
      </w:r>
      <w:r>
        <w:t xml:space="preserve"> 17.01.2026</w:t>
      </w:r>
    </w:p>
    <w:p>
      <w:pPr>
        <w:jc w:val="left"/>
      </w:pPr>
      <w:r>
        <w:rPr>
          <w:b/>
        </w:rPr>
        <w:t>Gegenstand:</w:t>
      </w:r>
      <w:r>
        <w:t xml:space="preserve"> Schreiben Strassburger Immobilien GmbH vom 22.12.2025</w:t>
      </w:r>
    </w:p>
    <w:p/>
    <w:p>
      <w:pPr>
        <w:pStyle w:val="Heading2"/>
      </w:pPr>
      <w:r>
        <w:rPr>
          <w:rFonts w:ascii="Times New Roman" w:hAnsi="Times New Roman"/>
        </w:rPr>
        <w:t>Inhalt der Modernisierungsankündigung</w:t>
      </w:r>
    </w:p>
    <w:p>
      <w:pPr>
        <w:jc w:val="left"/>
      </w:pPr>
      <w:r>
        <w:t>Das Schreiben vom 22.12.2025 (5 Seiten + 2 Anlagen) kündigt folgende Maßnahmen an:</w:t>
      </w:r>
    </w:p>
    <w:p>
      <w:pPr>
        <w:pStyle w:val="ListNumber"/>
      </w:pPr>
      <w:r>
        <w:rPr>
          <w:b/>
        </w:rPr>
        <w:t>Außenwanddämmung</w:t>
      </w:r>
      <w:r>
        <w:t xml:space="preserve"> — Aufbringung einer WDVS-Fassade (Wärmedämm-Verbundsystem) an der gesamten Straßen- und Hofseite; Dämmstärke 16 cm, Ug-Wert nach Maßnahme 0,24 W/(m²K). Geplante Maßnahme gemäß § 555b Nr. 1 BGB (Energieeinsparung).</w:t>
      </w:r>
    </w:p>
    <w:p>
      <w:pPr>
        <w:pStyle w:val="ListNumber"/>
      </w:pPr>
      <w:r>
        <w:rPr>
          <w:b/>
        </w:rPr>
        <w:t>Dacherneuerung</w:t>
      </w:r>
      <w:r>
        <w:t xml:space="preserve"> — Neueindeckung des Daches inkl. Aufdachdämmung; Verbesserung des U-Wertes. Ebenso § 555b Nr. 1 BGB.</w:t>
      </w:r>
    </w:p>
    <w:p>
      <w:pPr>
        <w:pStyle w:val="ListNumber"/>
      </w:pPr>
      <w:r>
        <w:rPr>
          <w:b/>
        </w:rPr>
        <w:t>Erneuerung Heizungsanlage</w:t>
      </w:r>
      <w:r>
        <w:t xml:space="preserve"> — Austausch der Gasheizung gegen Wärmepumpe + Solarthermie-Kollektoren auf dem Dach. § 555b Nr. 1 und Nr. 6 BGB (klimaschützende Maßnahme).</w:t>
      </w:r>
    </w:p>
    <w:p>
      <w:pPr>
        <w:pStyle w:val="ListNumber"/>
      </w:pPr>
      <w:r>
        <w:rPr>
          <w:b/>
        </w:rPr>
        <w:t>Fensteraustausch in ausgewählten Wohnungen</w:t>
      </w:r>
      <w:r>
        <w:t xml:space="preserve"> (Wohnungen EG, 1. OG und 3. OG; nicht 2. OG) — Kunststofffenster mit Dreifachverglasung, Uw-Wert 0,90 W/(m²K). § 555b Nr. 1 BGB.</w:t>
      </w:r>
    </w:p>
    <w:p>
      <w:pPr>
        <w:jc w:val="left"/>
      </w:pPr>
      <w:r>
        <w:rPr>
          <w:b/>
        </w:rPr>
        <w:t>Angekündigter Baubeginn:</w:t>
      </w:r>
      <w:r>
        <w:t xml:space="preserve"> 01.04.2026</w:t>
      </w:r>
    </w:p>
    <w:p>
      <w:pPr>
        <w:jc w:val="left"/>
      </w:pPr>
      <w:r>
        <w:rPr>
          <w:b/>
        </w:rPr>
        <w:t>Geplante Baudauer:</w:t>
      </w:r>
      <w:r>
        <w:t xml:space="preserve"> ca. 6 Monate (Fertigstellung Oktober 2026)</w:t>
      </w:r>
    </w:p>
    <w:p>
      <w:pPr>
        <w:jc w:val="left"/>
      </w:pPr>
      <w:r>
        <w:rPr>
          <w:b/>
        </w:rPr>
        <w:t>Ankündigungsfrist:</w:t>
      </w:r>
      <w:r>
        <w:t xml:space="preserve"> Das Schreiben wurde am 22.12.2025 versandt; Baubeginn soll 01.04.2026 sein — Abstand ca. 3 Monate und 10 Tage.</w:t>
      </w:r>
    </w:p>
    <w:p/>
    <w:p>
      <w:pPr>
        <w:pStyle w:val="Heading2"/>
      </w:pPr>
      <w:r>
        <w:rPr>
          <w:rFonts w:ascii="Times New Roman" w:hAnsi="Times New Roman"/>
        </w:rPr>
        <w:t>Angekündigte Mieterhöhung (separates Schreiben 05.01.2026)</w:t>
      </w:r>
    </w:p>
    <w:p>
      <w:pPr>
        <w:jc w:val="left"/>
      </w:pPr>
      <w:r>
        <w:t>Mit Begleitschreiben vom 05.01.2026 kündigt der Vermieter nach Abschluss der Maßnahmen folgende Mieterhöhung an:</w:t>
      </w:r>
    </w:p>
    <w:p>
      <w:pPr>
        <w:pStyle w:val="ListBullet"/>
      </w:pPr>
      <w:r>
        <w:t>Bisherige Nettokaltmiete: 8,90 EUR/m² (698,65 EUR/Monat)</w:t>
      </w:r>
    </w:p>
    <w:p>
      <w:pPr>
        <w:pStyle w:val="ListBullet"/>
      </w:pPr>
      <w:r>
        <w:t>Geplante neue Nettokaltmiete: 13,40 EUR/m² (1.051,90 EUR/Monat)</w:t>
      </w:r>
    </w:p>
    <w:p>
      <w:pPr>
        <w:pStyle w:val="ListBullet"/>
      </w:pPr>
      <w:r>
        <w:t>Erhöhungsbetrag pro Monat: ca. 353,25 EUR</w:t>
      </w:r>
    </w:p>
    <w:p>
      <w:pPr>
        <w:pStyle w:val="ListBullet"/>
      </w:pPr>
      <w:r>
        <w:t>Erhöhung auf den Quadratmeter: 4,50 EUR/m²</w:t>
      </w:r>
    </w:p>
    <w:p>
      <w:pPr>
        <w:jc w:val="left"/>
      </w:pPr>
      <w:r>
        <w:t>Der Vermieter beziffert die Modernisierungskosten auf insgesamt 1.285.000 EUR für das gesamte Gebäude. Auf die Wohnfläche entfallen nach Angabe des Vermieters 890.000 EUR. Die auf Tannenkamp entfallende anteilige Maßnahme wird mit 54.750 EUR angegeben. Der geltend gemachte Erhöhungsbetrag von 4,50 EUR/m² entspreche 8 % der Modernisierungskosten geteilt durch 12 Monate (§ 559 Abs. 1 BGB: 8 % der Jahreskosten auf den Monat).</w:t>
      </w:r>
    </w:p>
    <w:p/>
    <w:p>
      <w:pPr>
        <w:pStyle w:val="Heading2"/>
      </w:pPr>
      <w:r>
        <w:rPr>
          <w:rFonts w:ascii="Times New Roman" w:hAnsi="Times New Roman"/>
        </w:rPr>
        <w:t>Prüfung der Formvoraussetzungen (§ 555c BGB)</w:t>
      </w:r>
    </w:p>
    <w:p>
      <w:pPr>
        <w:pStyle w:val="Heading3"/>
      </w:pPr>
      <w:r>
        <w:rPr>
          <w:rFonts w:ascii="Times New Roman" w:hAnsi="Times New Roman"/>
        </w:rPr>
        <w:t>Checkliste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Anforderung</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Schriftform</w:t>
            </w:r>
          </w:p>
        </w:tc>
        <w:tc>
          <w:tcPr>
            <w:tcW w:type="dxa" w:w="3024"/>
          </w:tcPr>
          <w:p>
            <w:r>
              <w:rPr>
                <w:rFonts w:ascii="Times New Roman" w:hAnsi="Times New Roman"/>
                <w:sz w:val="20"/>
              </w:rPr>
              <w:t>§ 555c Abs. 1 BGB: schriftlich</w:t>
            </w:r>
          </w:p>
        </w:tc>
        <w:tc>
          <w:tcPr>
            <w:tcW w:type="dxa" w:w="3024"/>
          </w:tcPr>
          <w:p>
            <w:r>
              <w:rPr>
                <w:rFonts w:ascii="Times New Roman" w:hAnsi="Times New Roman"/>
                <w:sz w:val="20"/>
              </w:rPr>
              <w:t>Erfüllt (Originalbrief per Post)</w:t>
            </w:r>
          </w:p>
        </w:tc>
      </w:tr>
      <w:tr>
        <w:tc>
          <w:tcPr>
            <w:tcW w:type="dxa" w:w="3024"/>
          </w:tcPr>
          <w:p>
            <w:r>
              <w:rPr>
                <w:rFonts w:ascii="Times New Roman" w:hAnsi="Times New Roman"/>
                <w:sz w:val="20"/>
              </w:rPr>
              <w:t>Ankündigungsfrist</w:t>
            </w:r>
          </w:p>
        </w:tc>
        <w:tc>
          <w:tcPr>
            <w:tcW w:type="dxa" w:w="3024"/>
          </w:tcPr>
          <w:p>
            <w:r>
              <w:rPr>
                <w:rFonts w:ascii="Times New Roman" w:hAnsi="Times New Roman"/>
                <w:sz w:val="20"/>
              </w:rPr>
              <w:t>§ 555c Abs. 2 BGB: mind. 3 Monate vor Beginn</w:t>
            </w:r>
          </w:p>
        </w:tc>
        <w:tc>
          <w:tcPr>
            <w:tcW w:type="dxa" w:w="3024"/>
          </w:tcPr>
          <w:p>
            <w:r>
              <w:rPr>
                <w:rFonts w:ascii="Times New Roman" w:hAnsi="Times New Roman"/>
                <w:sz w:val="20"/>
              </w:rPr>
              <w:t xml:space="preserve">Grenzwertig: 22.12.2025 → 01.04.2026 = 3 Monate 10 Tage; </w:t>
            </w:r>
            <w:r>
              <w:rPr>
                <w:rFonts w:ascii="Times New Roman" w:hAnsi="Times New Roman"/>
                <w:b/>
                <w:sz w:val="20"/>
              </w:rPr>
              <w:t>knapp erfüllt</w:t>
            </w:r>
          </w:p>
        </w:tc>
      </w:tr>
      <w:tr>
        <w:tc>
          <w:tcPr>
            <w:tcW w:type="dxa" w:w="3024"/>
          </w:tcPr>
          <w:p>
            <w:r>
              <w:rPr>
                <w:rFonts w:ascii="Times New Roman" w:hAnsi="Times New Roman"/>
                <w:sz w:val="20"/>
              </w:rPr>
              <w:t>Art und Umfang der Maßnahme</w:t>
            </w:r>
          </w:p>
        </w:tc>
        <w:tc>
          <w:tcPr>
            <w:tcW w:type="dxa" w:w="3024"/>
          </w:tcPr>
          <w:p>
            <w:r>
              <w:rPr>
                <w:rFonts w:ascii="Times New Roman" w:hAnsi="Times New Roman"/>
                <w:sz w:val="20"/>
              </w:rPr>
              <w:t>§ 555c Abs. 1 Nr. 1 BGB</w:t>
            </w:r>
          </w:p>
        </w:tc>
        <w:tc>
          <w:tcPr>
            <w:tcW w:type="dxa" w:w="3024"/>
          </w:tcPr>
          <w:p>
            <w:r>
              <w:rPr>
                <w:rFonts w:ascii="Times New Roman" w:hAnsi="Times New Roman"/>
                <w:sz w:val="20"/>
              </w:rPr>
              <w:t>Beschrieben; Detailtiefe ausreichend (mit Anlage Baubeschreibung)</w:t>
            </w:r>
          </w:p>
        </w:tc>
      </w:tr>
      <w:tr>
        <w:tc>
          <w:tcPr>
            <w:tcW w:type="dxa" w:w="3024"/>
          </w:tcPr>
          <w:p>
            <w:r>
              <w:rPr>
                <w:rFonts w:ascii="Times New Roman" w:hAnsi="Times New Roman"/>
                <w:sz w:val="20"/>
              </w:rPr>
              <w:t>Voraussichtliche Dauer</w:t>
            </w:r>
          </w:p>
        </w:tc>
        <w:tc>
          <w:tcPr>
            <w:tcW w:type="dxa" w:w="3024"/>
          </w:tcPr>
          <w:p>
            <w:r>
              <w:rPr>
                <w:rFonts w:ascii="Times New Roman" w:hAnsi="Times New Roman"/>
                <w:sz w:val="20"/>
              </w:rPr>
              <w:t>§ 555c Abs. 1 Nr. 2 BGB</w:t>
            </w:r>
          </w:p>
        </w:tc>
        <w:tc>
          <w:tcPr>
            <w:tcW w:type="dxa" w:w="3024"/>
          </w:tcPr>
          <w:p>
            <w:r>
              <w:rPr>
                <w:rFonts w:ascii="Times New Roman" w:hAnsi="Times New Roman"/>
                <w:sz w:val="20"/>
              </w:rPr>
              <w:t>Angegeben: ca. 6 Monate</w:t>
            </w:r>
          </w:p>
        </w:tc>
      </w:tr>
      <w:tr>
        <w:tc>
          <w:tcPr>
            <w:tcW w:type="dxa" w:w="3024"/>
          </w:tcPr>
          <w:p>
            <w:r>
              <w:rPr>
                <w:rFonts w:ascii="Times New Roman" w:hAnsi="Times New Roman"/>
                <w:sz w:val="20"/>
              </w:rPr>
              <w:t>Voraussichtliche Mieterhöhung</w:t>
            </w:r>
          </w:p>
        </w:tc>
        <w:tc>
          <w:tcPr>
            <w:tcW w:type="dxa" w:w="3024"/>
          </w:tcPr>
          <w:p>
            <w:r>
              <w:rPr>
                <w:rFonts w:ascii="Times New Roman" w:hAnsi="Times New Roman"/>
                <w:sz w:val="20"/>
              </w:rPr>
              <w:t>§ 555c Abs. 1 Nr. 3 BGB</w:t>
            </w:r>
          </w:p>
        </w:tc>
        <w:tc>
          <w:tcPr>
            <w:tcW w:type="dxa" w:w="3024"/>
          </w:tcPr>
          <w:p>
            <w:r>
              <w:rPr>
                <w:rFonts w:ascii="Times New Roman" w:hAnsi="Times New Roman"/>
                <w:sz w:val="20"/>
              </w:rPr>
              <w:t>Zahl nicht im Ankündigungsschreiben, nur im separaten Begleitschreiben vom 05.01.2026</w:t>
            </w:r>
          </w:p>
        </w:tc>
      </w:tr>
      <w:tr>
        <w:tc>
          <w:tcPr>
            <w:tcW w:type="dxa" w:w="3024"/>
          </w:tcPr>
          <w:p>
            <w:r>
              <w:rPr>
                <w:rFonts w:ascii="Times New Roman" w:hAnsi="Times New Roman"/>
                <w:sz w:val="20"/>
              </w:rPr>
              <w:t>Berechnung der Kosten</w:t>
            </w:r>
          </w:p>
        </w:tc>
        <w:tc>
          <w:tcPr>
            <w:tcW w:type="dxa" w:w="3024"/>
          </w:tcPr>
          <w:p>
            <w:r>
              <w:rPr>
                <w:rFonts w:ascii="Times New Roman" w:hAnsi="Times New Roman"/>
                <w:sz w:val="20"/>
              </w:rPr>
              <w:t>§ 559b Abs. 1 BGB (für späteres MHV)</w:t>
            </w:r>
          </w:p>
        </w:tc>
        <w:tc>
          <w:tcPr>
            <w:tcW w:type="dxa" w:w="3024"/>
          </w:tcPr>
          <w:p>
            <w:r>
              <w:rPr>
                <w:rFonts w:ascii="Times New Roman" w:hAnsi="Times New Roman"/>
                <w:sz w:val="20"/>
              </w:rPr>
              <w:t>Angaben sehr pauschal; Aufteilung Erhaltungs-/Modernisierungsanteil fehlt</w:t>
            </w:r>
          </w:p>
        </w:tc>
      </w:tr>
      <w:tr>
        <w:tc>
          <w:tcPr>
            <w:tcW w:type="dxa" w:w="3024"/>
          </w:tcPr>
          <w:p>
            <w:r>
              <w:rPr>
                <w:rFonts w:ascii="Times New Roman" w:hAnsi="Times New Roman"/>
                <w:sz w:val="20"/>
              </w:rPr>
              <w:t>Duldungsaufforderung</w:t>
            </w:r>
          </w:p>
        </w:tc>
        <w:tc>
          <w:tcPr>
            <w:tcW w:type="dxa" w:w="3024"/>
          </w:tcPr>
          <w:p>
            <w:r>
              <w:rPr>
                <w:rFonts w:ascii="Times New Roman" w:hAnsi="Times New Roman"/>
                <w:sz w:val="20"/>
              </w:rPr>
              <w:t>Empfohlen</w:t>
            </w:r>
          </w:p>
        </w:tc>
        <w:tc>
          <w:tcPr>
            <w:tcW w:type="dxa" w:w="3024"/>
          </w:tcPr>
          <w:p>
            <w:r>
              <w:rPr>
                <w:rFonts w:ascii="Times New Roman" w:hAnsi="Times New Roman"/>
                <w:sz w:val="20"/>
              </w:rPr>
              <w:t>Vorhanden</w:t>
            </w:r>
          </w:p>
        </w:tc>
      </w:tr>
    </w:tbl>
    <w:p>
      <w:pPr>
        <w:jc w:val="left"/>
      </w:pPr>
      <w:r>
        <w:rPr>
          <w:b/>
        </w:rPr>
        <w:t>Kernergebnis:</w:t>
      </w:r>
      <w:r>
        <w:t xml:space="preserve"> Das Ankündigungsschreiben enthält die voraussichtliche Mieterhöhungshöhe nicht unmittelbar (sie steht nur im separaten Schreiben vom 05.01.2026). Dies ist ein formeller Mangel, der allerdings von der Gegenseite als kurative Gesamtbetrachtung beider Schreiben verteidigt werden wird. Gewichtiger ist die fehlende Aufschlüsselung der Kosten nach Erhaltungs- und Modernisierungsanteil.</w:t>
      </w:r>
    </w:p>
    <w:p/>
    <w:p>
      <w:pPr>
        <w:pStyle w:val="Heading2"/>
      </w:pPr>
      <w:r>
        <w:rPr>
          <w:rFonts w:ascii="Times New Roman" w:hAnsi="Times New Roman"/>
        </w:rPr>
        <w:t>Inhaltliche Beanstandungen</w:t>
      </w:r>
    </w:p>
    <w:p>
      <w:pPr>
        <w:pStyle w:val="Heading3"/>
      </w:pPr>
      <w:r>
        <w:rPr>
          <w:rFonts w:ascii="Times New Roman" w:hAnsi="Times New Roman"/>
        </w:rPr>
        <w:t>1. Fehlende Abgrenzung Instandhaltung vs. Modernisierung</w:t>
      </w:r>
    </w:p>
    <w:p>
      <w:pPr>
        <w:jc w:val="left"/>
      </w:pPr>
      <w:r>
        <w:t>§ 559 Abs. 2 BGB schreibt vor, dass Aufwendungen, die der Vermieter ohne die Modernisierung als Instandhaltung hätte aufwenden müssen, vom Modernisierungsaufwand abzuziehen sind. Die Ankündigung enthält diesen Abzug nicht. Das Dach war nach eigenen Angaben von 2008 und hätte in absehbarer Zeit sowieso erneuert werden müssen. Mindestens 15 % der Dachkosten (ca. 42.000 EUR Gesamtdach, davon rd. 6.300 EUR Instandhaltungsanteil) sind abziehbar.</w:t>
      </w:r>
    </w:p>
    <w:p>
      <w:pPr>
        <w:pStyle w:val="Heading3"/>
      </w:pPr>
      <w:r>
        <w:rPr>
          <w:rFonts w:ascii="Times New Roman" w:hAnsi="Times New Roman"/>
        </w:rPr>
        <w:t>2. Aufzug-Fenstermaßnahme als Erhaltung</w:t>
      </w:r>
    </w:p>
    <w:p>
      <w:pPr>
        <w:jc w:val="left"/>
      </w:pPr>
      <w:r>
        <w:t>Der Zustand der Fenster in der Wohnung Tannenkamp ist nach seiner Aussage noch akzeptabel; er hat darüber keine Mängelanzeige gestellt. Es ist zu klären, ob die neuen Fenster wegen Verschleiß ohnehin fällig gewesen wären (dann Erhaltungsaufwand nach § 555a BGB, nicht umlegbar).</w:t>
      </w:r>
    </w:p>
    <w:p>
      <w:pPr>
        <w:pStyle w:val="Heading3"/>
      </w:pPr>
      <w:r>
        <w:rPr>
          <w:rFonts w:ascii="Times New Roman" w:hAnsi="Times New Roman"/>
        </w:rPr>
        <w:t>3. Kein Drittmittel-Abzug</w:t>
      </w:r>
    </w:p>
    <w:p>
      <w:pPr>
        <w:jc w:val="left"/>
      </w:pPr>
      <w:r>
        <w:t>Der Vermieter gibt an, für die Wärmepumpe und Solarthermie Fördermittel der BAFA (Bundesamt für Wirtschaft und Ausfuhrkontrolle) zu beantragen. § 559a BGB ordnet an, dass öffentliche Fördermittel den Modernisierungsaufwand reduzieren. Die Förderhöhe ist noch nicht angegeben.</w:t>
      </w:r>
    </w:p>
    <w:p/>
    <w:p>
      <w:pPr>
        <w:pStyle w:val="Heading2"/>
      </w:pPr>
      <w:r>
        <w:rPr>
          <w:rFonts w:ascii="Times New Roman" w:hAnsi="Times New Roman"/>
        </w:rPr>
        <w:t>Zwischenergebnis</w:t>
      </w:r>
    </w:p>
    <w:p>
      <w:pPr>
        <w:jc w:val="left"/>
      </w:pPr>
      <w:r>
        <w:t>Die Ankündigung erfüllt zwar formal gerade so die Mindestvoraussetzungen des § 555c BGB, hat aber inhaltlich erhebliche Mängel. Insbesondere die fehlende Abgrenzung Erhaltung/Modernisierung und fehlende Fördermittelangaben können dazu führen, dass das spätere Mieterhöhungsverlangen nach § 559b BGB fehlerhaft oder überhöht ist. Tannenkamp ist zum Duldungseinwand (§ 555d Abs. 2 BGB: Härtefall) berechtigt; Einwandsfrist: bis spätestens einen Monat nach Zugang der Ankündigung (§ 555d Abs. 3 BGB). Einwandsschreiben wurde am 20.01.2026 gefertigt und versandt (s. Aktenstück 06).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Schreiben Strassburger Immobilien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Schreiben Strassburger Immobilien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