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Klageschrift Amtsgericht Leipzig — Mietminderung</w:t>
      </w:r>
    </w:p>
    <w:p>
      <w:pPr>
        <w:jc w:val="left"/>
      </w:pPr>
      <w:r>
        <w:rPr>
          <w:b/>
        </w:rPr>
        <w:t>Kanzlei-AZ:</w:t>
      </w:r>
      <w:r>
        <w:t xml:space="preserve"> KP-2026-0387</w:t>
      </w:r>
    </w:p>
    <w:p>
      <w:pPr>
        <w:jc w:val="left"/>
      </w:pPr>
      <w:r>
        <w:rPr>
          <w:b/>
        </w:rPr>
        <w:t>Gericht:</w:t>
      </w:r>
      <w:r>
        <w:t xml:space="preserve"> Amtsgericht Leipzig, Bernhard-Göring-Str. 64, 04275 Leipzig</w:t>
      </w:r>
    </w:p>
    <w:p>
      <w:pPr>
        <w:jc w:val="left"/>
      </w:pPr>
      <w:r>
        <w:rPr>
          <w:b/>
        </w:rPr>
        <w:t>Aktenzeichen (nach Zustellung):</w:t>
      </w:r>
      <w:r>
        <w:t xml:space="preserve"> 1 C 417/26</w:t>
      </w:r>
    </w:p>
    <w:p>
      <w:pPr>
        <w:jc w:val="left"/>
      </w:pPr>
      <w:r>
        <w:rPr>
          <w:b/>
        </w:rPr>
        <w:t>Eingereicht:</w:t>
      </w:r>
      <w:r>
        <w:t xml:space="preserve"> 03.03.2026</w:t>
      </w:r>
    </w:p>
    <w:p>
      <w:pPr>
        <w:jc w:val="left"/>
      </w:pPr>
      <w:r>
        <w:rPr>
          <w:b/>
        </w:rPr>
        <w:t>Streitwert:</w:t>
      </w:r>
      <w:r>
        <w:t xml:space="preserve"> 6.517,92 EUR (Berechnung s.u.)</w:t>
      </w:r>
    </w:p>
    <w:p/>
    <w:p>
      <w:pPr>
        <w:pStyle w:val="Heading2"/>
      </w:pPr>
      <w:r>
        <w:rPr>
          <w:rFonts w:ascii="Times New Roman" w:hAnsi="Times New Roman"/>
        </w:rPr>
        <w:t>Rubrum</w:t>
      </w:r>
    </w:p>
    <w:p>
      <w:pPr>
        <w:jc w:val="left"/>
      </w:pPr>
      <w:r>
        <w:rPr>
          <w:b/>
        </w:rPr>
        <w:t>Kläger:</w:t>
      </w:r>
      <w:r>
        <w:t xml:space="preserve"> Hannes Tannenkamp, Rosenblütenstraße 17, 3. OG links, 04229 Leipzig</w:t>
      </w:r>
    </w:p>
    <w:p>
      <w:pPr>
        <w:jc w:val="left"/>
      </w:pPr>
      <w:r>
        <w:t>— vertreten durch: RAin Dr. Miriam Kupfer-Pfaff, Kanzlei Kupfer-Pfaff &amp; Partner, Karl-Liebknecht-Str. 122, 04277 Leipzig</w:t>
      </w:r>
    </w:p>
    <w:p>
      <w:pPr>
        <w:jc w:val="left"/>
      </w:pPr>
      <w:r>
        <w:rPr>
          <w:b/>
        </w:rPr>
        <w:t>Beklagte:</w:t>
      </w:r>
      <w:r>
        <w:t xml:space="preserve"> Strassburger Immobilien GmbH, vertreten durch Geschäftsführer Klaus-Ulrich Strassburger-Pellbach, Käthe-Kollwitz-Str. 84, 04109 Leipzig</w:t>
      </w:r>
    </w:p>
    <w:p/>
    <w:p>
      <w:pPr>
        <w:pStyle w:val="Heading2"/>
      </w:pPr>
      <w:r>
        <w:rPr>
          <w:rFonts w:ascii="Times New Roman" w:hAnsi="Times New Roman"/>
        </w:rPr>
        <w:t>Anträge</w:t>
      </w:r>
    </w:p>
    <w:p>
      <w:pPr>
        <w:jc w:val="left"/>
      </w:pPr>
      <w:r>
        <w:t>Der Kläger beantragt:</w:t>
      </w:r>
    </w:p>
    <w:p>
      <w:pPr>
        <w:pStyle w:val="ListNumber"/>
      </w:pPr>
      <w:r>
        <w:t xml:space="preserve">Die Beklagte wird verurteilt, an den Kläger </w:t>
      </w:r>
      <w:r>
        <w:rPr>
          <w:b/>
        </w:rPr>
        <w:t>461,10 EUR</w:t>
      </w:r>
      <w:r>
        <w:t xml:space="preserve"> nebst Zinsen in Höhe von 5 Prozentpunkten über dem Basiszinssatz seit dem 01.02.2026 zu zahlen (rückständige Mietminderung für den Zeitraum 12.08.2025 bis 31.01.2026).</w:t>
      </w:r>
    </w:p>
    <w:p>
      <w:pPr>
        <w:pStyle w:val="ListNumber"/>
      </w:pPr>
      <w:r>
        <w:t xml:space="preserve">Es wird festgestellt, dass der Kläger berechtigt ist, die Nettokaltmiete für die Wohnung Rosenblütenstraße 17, 3. OG links, 04229 Leipzig, um </w:t>
      </w:r>
      <w:r>
        <w:rPr>
          <w:b/>
        </w:rPr>
        <w:t>12 %</w:t>
      </w:r>
      <w:r>
        <w:t xml:space="preserve"> zu mindern, solange die Schimmelschäden im Badezimmer (Außenwandecke Nordwest, Fensterlaibung) und im Arbeitszimmer (Außenwandecke Nordwest) nicht fachgerecht beseitigt sind.</w:t>
      </w:r>
    </w:p>
    <w:p>
      <w:pPr>
        <w:pStyle w:val="ListNumber"/>
      </w:pPr>
      <w:r>
        <w:t>Die Beklagte wird verurteilt, die Schimmelschäden in den unter Antrag 2 bezeichneten Bereichen innerhalb von 6 Wochen nach Rechtskraft dieses Urteils fachgerecht und dauerhaft zu beseitigen, einschließlich Sanierung der Ursache (Wärmebrücke durch ungedämmte Außenwand).</w:t>
      </w:r>
    </w:p>
    <w:p>
      <w:pPr>
        <w:pStyle w:val="ListNumber"/>
      </w:pPr>
      <w:r>
        <w:t xml:space="preserve">Die Beklagte wird verurteilt, an den Kläger Schadensersatz in Höhe von </w:t>
      </w:r>
      <w:r>
        <w:rPr>
          <w:b/>
        </w:rPr>
        <w:t>1.620,00 EUR</w:t>
      </w:r>
      <w:r>
        <w:t xml:space="preserve"> (Kosten Sachverständigengutachten Schollbach 1.240,00 EUR + Feuchtemessung Lehmann GmbH 380,00 EUR) zu zahlen.</w:t>
      </w:r>
    </w:p>
    <w:p>
      <w:pPr>
        <w:pStyle w:val="ListNumber"/>
      </w:pPr>
      <w:r>
        <w:t>Die Beklagte trägt die Kosten des Rechtsstreits.</w:t>
      </w:r>
    </w:p>
    <w:p/>
    <w:p>
      <w:pPr>
        <w:pStyle w:val="Heading2"/>
      </w:pPr>
      <w:r>
        <w:rPr>
          <w:rFonts w:ascii="Times New Roman" w:hAnsi="Times New Roman"/>
        </w:rPr>
        <w:t>Streitwertberechnung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Rückständige Minderung (Antrag 1)</w:t>
            </w:r>
          </w:p>
        </w:tc>
        <w:tc>
          <w:tcPr>
            <w:tcW w:type="dxa" w:w="4536"/>
          </w:tcPr>
          <w:p>
            <w:r>
              <w:rPr>
                <w:rFonts w:ascii="Times New Roman" w:hAnsi="Times New Roman"/>
                <w:sz w:val="20"/>
              </w:rPr>
              <w:t>461,10 EUR</w:t>
            </w:r>
          </w:p>
        </w:tc>
      </w:tr>
      <w:tr>
        <w:tc>
          <w:tcPr>
            <w:tcW w:type="dxa" w:w="4536"/>
          </w:tcPr>
          <w:p>
            <w:r>
              <w:rPr>
                <w:rFonts w:ascii="Times New Roman" w:hAnsi="Times New Roman"/>
                <w:sz w:val="20"/>
              </w:rPr>
              <w:t>Feststellung laufende Minderung (12 × 83,84 EUR/Monat; Jahreswert)</w:t>
            </w:r>
          </w:p>
        </w:tc>
        <w:tc>
          <w:tcPr>
            <w:tcW w:type="dxa" w:w="4536"/>
          </w:tcPr>
          <w:p>
            <w:r>
              <w:rPr>
                <w:rFonts w:ascii="Times New Roman" w:hAnsi="Times New Roman"/>
                <w:sz w:val="20"/>
              </w:rPr>
              <w:t>1.006,08 EUR</w:t>
            </w:r>
          </w:p>
        </w:tc>
      </w:tr>
      <w:tr>
        <w:tc>
          <w:tcPr>
            <w:tcW w:type="dxa" w:w="4536"/>
          </w:tcPr>
          <w:p>
            <w:r>
              <w:rPr>
                <w:rFonts w:ascii="Times New Roman" w:hAnsi="Times New Roman"/>
                <w:sz w:val="20"/>
              </w:rPr>
              <w:t>Mangelbeseitigungsanspruch (Schätzung Sanierungskosten)</w:t>
            </w:r>
          </w:p>
        </w:tc>
        <w:tc>
          <w:tcPr>
            <w:tcW w:type="dxa" w:w="4536"/>
          </w:tcPr>
          <w:p>
            <w:r>
              <w:rPr>
                <w:rFonts w:ascii="Times New Roman" w:hAnsi="Times New Roman"/>
                <w:sz w:val="20"/>
              </w:rPr>
              <w:t>3.430,74 EUR</w:t>
            </w:r>
          </w:p>
        </w:tc>
      </w:tr>
      <w:tr>
        <w:tc>
          <w:tcPr>
            <w:tcW w:type="dxa" w:w="4536"/>
          </w:tcPr>
          <w:p>
            <w:r>
              <w:rPr>
                <w:rFonts w:ascii="Times New Roman" w:hAnsi="Times New Roman"/>
                <w:sz w:val="20"/>
              </w:rPr>
              <w:t>Schadensersatz (Antrag 4)</w:t>
            </w:r>
          </w:p>
        </w:tc>
        <w:tc>
          <w:tcPr>
            <w:tcW w:type="dxa" w:w="4536"/>
          </w:tcPr>
          <w:p>
            <w:r>
              <w:rPr>
                <w:rFonts w:ascii="Times New Roman" w:hAnsi="Times New Roman"/>
                <w:sz w:val="20"/>
              </w:rPr>
              <w:t>1.620,00 EUR</w:t>
            </w:r>
          </w:p>
        </w:tc>
      </w:tr>
      <w:tr>
        <w:tc>
          <w:tcPr>
            <w:tcW w:type="dxa" w:w="4536"/>
          </w:tcPr>
          <w:p>
            <w:r>
              <w:rPr>
                <w:rFonts w:ascii="Times New Roman" w:hAnsi="Times New Roman"/>
                <w:b/>
                <w:sz w:val="20"/>
              </w:rPr>
              <w:t>Gesamtstreitwert</w:t>
            </w:r>
          </w:p>
        </w:tc>
        <w:tc>
          <w:tcPr>
            <w:tcW w:type="dxa" w:w="4536"/>
          </w:tcPr>
          <w:p>
            <w:r>
              <w:rPr>
                <w:rFonts w:ascii="Times New Roman" w:hAnsi="Times New Roman"/>
                <w:b/>
                <w:sz w:val="20"/>
              </w:rPr>
              <w:t>6.517,92 EUR</w:t>
            </w:r>
          </w:p>
        </w:tc>
      </w:tr>
    </w:tbl>
    <w:p>
      <w:pPr>
        <w:jc w:val="left"/>
      </w:pPr>
      <w:r>
        <w:t>Zuständigkeit AG Leipzig nach Paragraf 23 Nummer 2a GVG in Verbindung mit Paragraf 29a ZPO: Es handelt sich um Ansprüche aus einem Wohnraummietverhältnis; das Amtsgericht ist deshalb ausschließlich und streitwertunabhängig sachlich zuständig. Der Streitwert bleibt nur für Kosten und Rechtsmittelbeschwer relevant. In erster Instanz besteht vor dem Amtsgericht kein Anwaltszwang nach Paragraf 78 Absatz 1 Satz 1 ZPO im Umkehrschluss.</w:t>
      </w:r>
    </w:p>
    <w:p/>
    <w:p>
      <w:pPr>
        <w:pStyle w:val="Heading2"/>
      </w:pPr>
      <w:r>
        <w:rPr>
          <w:rFonts w:ascii="Times New Roman" w:hAnsi="Times New Roman"/>
        </w:rPr>
        <w:t>Sachvortrag (Kurzfassung)</w:t>
      </w:r>
    </w:p>
    <w:p>
      <w:pPr>
        <w:jc w:val="left"/>
      </w:pPr>
      <w:r>
        <w:t>Der Kläger bewohnt die streitgegenständliche Wohnung seit dem 01.03.2014. Seit August 2025 treten erhebliche Schimmelschäden im Badezimmer und im Arbeitszimmer auf, die auf eine baustrukturelle Wärmebrücke an der ungedämmten Außenwand zurückzuführen sind. Der Kläger hat den Mangel mit Einschreiben vom 12.08.2025 und 03.09.2025 angezeigt. Die Beklagte hat keine Mangelbeseitigung veranlasst, sondern den Kläger pauschal auf vermeintliche Lüftungsfehler verwiesen. Das Sachverständigengutachten des öbvSV Dipl.-Ing. Schollbach vom 28.01.2026 belegt, dass das Lüftungsverhalten des Klägers unauffällig ist und die Schadensursache allein in der Gebäudestruktur liegt.</w:t>
      </w:r>
    </w:p>
    <w:p>
      <w:pPr>
        <w:jc w:val="left"/>
      </w:pPr>
      <w:r>
        <w:t>Der Kläger hat am 28.01.2026 die Minderung schriftlich erklärt und die Beseitigung des Mangels unter Fristsetzung bis zum 28.02.2026 verlangt. Die Beklagte hat beide Forderungen mit anwaltlichem Schreiben vom 14.02.2026 zurückgewiesen.</w:t>
      </w:r>
    </w:p>
    <w:p/>
    <w:p>
      <w:pPr>
        <w:pStyle w:val="Heading2"/>
      </w:pPr>
      <w:r>
        <w:rPr>
          <w:rFonts w:ascii="Times New Roman" w:hAnsi="Times New Roman"/>
        </w:rPr>
        <w:t>Beweisangebote</w:t>
      </w:r>
    </w:p>
    <w:p>
      <w:pPr>
        <w:pStyle w:val="ListBullet"/>
      </w:pPr>
      <w:r>
        <w:t>Zeugnis: Dipl.-Ing. Rainer Schollbach (Sachverständiger)</w:t>
      </w:r>
    </w:p>
    <w:p>
      <w:pPr>
        <w:pStyle w:val="ListBullet"/>
      </w:pPr>
      <w:r>
        <w:t>Urkunden: Gutachten Schollbach (Anlage K3), Einschreiben Mängelanzeigen August und September 2025 (Anlagen K1 und K2), Messprotokoll Lehmann GmbH (Anlage K4), Eigenprotokoll Luftfeuchtigkeit (Anlage K5), Schreiben RA Boden-Kassau vom 14.02.2026 (Anlage K6)</w:t>
      </w:r>
    </w:p>
    <w:p>
      <w:pPr>
        <w:pStyle w:val="ListBullet"/>
      </w:pPr>
      <w:r>
        <w:t>Augenschein: Besichtigung der Wohnung durch das Gericht</w:t>
      </w:r>
    </w:p>
    <w:p/>
    <w:p>
      <w:pPr>
        <w:pStyle w:val="Heading2"/>
      </w:pPr>
      <w:r>
        <w:rPr>
          <w:rFonts w:ascii="Times New Roman" w:hAnsi="Times New Roman"/>
        </w:rPr>
        <w:t>Kostenhinweis</w:t>
      </w:r>
    </w:p>
    <w:p>
      <w:pPr>
        <w:jc w:val="left"/>
      </w:pPr>
      <w:r>
        <w:t>Gerichtsgebühren bei Streitwert 6.517,92 EUR nach GKG: Verfahrensgebühr 3,0 × 334,00 EUR = ca. 1.002,00 EUR (vorläufige Schätzung). Anwaltsgebühren nach RVG: Prozessgebühr 1,3 × VV 1008 bei GW 6.500 EUR = ca. 729,23 EUR netto. Deckungszusage DEVK erteilt am 20.02.2026.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