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 Klageerwiderung RA Dr. Boden-Kassau (Vermieterseite)</w:t>
      </w:r>
    </w:p>
    <w:p>
      <w:pPr>
        <w:jc w:val="left"/>
      </w:pPr>
      <w:r>
        <w:rPr>
          <w:b/>
        </w:rPr>
        <w:t>Kanzlei-AZ:</w:t>
      </w:r>
      <w:r>
        <w:t xml:space="preserve"> KP-2026-0387</w:t>
      </w:r>
    </w:p>
    <w:p>
      <w:pPr>
        <w:jc w:val="left"/>
      </w:pPr>
      <w:r>
        <w:rPr>
          <w:b/>
        </w:rPr>
        <w:t>Gegenseite AZ:</w:t>
      </w:r>
      <w:r>
        <w:t xml:space="preserve"> BK-2026-0882</w:t>
      </w:r>
    </w:p>
    <w:p>
      <w:pPr>
        <w:jc w:val="left"/>
      </w:pPr>
      <w:r>
        <w:rPr>
          <w:b/>
        </w:rPr>
        <w:t>Eingegangen:</w:t>
      </w:r>
      <w:r>
        <w:t xml:space="preserve"> 08.04.2026</w:t>
      </w:r>
    </w:p>
    <w:p>
      <w:pPr>
        <w:jc w:val="left"/>
      </w:pPr>
      <w:r>
        <w:rPr>
          <w:b/>
        </w:rPr>
        <w:t>Gericht:</w:t>
      </w:r>
      <w:r>
        <w:t xml:space="preserve"> AG Leipzig 1 C 417/26</w:t>
      </w:r>
    </w:p>
    <w:p/>
    <w:p>
      <w:pPr>
        <w:pStyle w:val="Heading2"/>
      </w:pPr>
      <w:r>
        <w:rPr>
          <w:rFonts w:ascii="Times New Roman" w:hAnsi="Times New Roman"/>
        </w:rPr>
        <w:t>Rubrum</w:t>
      </w:r>
    </w:p>
    <w:p>
      <w:pPr>
        <w:jc w:val="left"/>
      </w:pPr>
      <w:r>
        <w:t>Für die Beklagte Strassburger Immobilien GmbH: RA Dr. Ferdinand Boden-Kassau, Boden-Kassau Rechtsanwälte, Peterssteinweg 12, 04107 Leipzig.</w:t>
      </w:r>
    </w:p>
    <w:p/>
    <w:p>
      <w:pPr>
        <w:pStyle w:val="Heading2"/>
      </w:pPr>
      <w:r>
        <w:rPr>
          <w:rFonts w:ascii="Times New Roman" w:hAnsi="Times New Roman"/>
        </w:rPr>
        <w:t>Anträge Gegenseite</w:t>
      </w:r>
    </w:p>
    <w:p>
      <w:pPr>
        <w:pStyle w:val="ListNumber"/>
      </w:pPr>
      <w:r>
        <w:t>Die Klage wird abgewiesen.</w:t>
      </w:r>
    </w:p>
    <w:p>
      <w:pPr>
        <w:pStyle w:val="ListNumber"/>
      </w:pPr>
      <w:r>
        <w:t>Der Kläger trägt die Kosten des Rechtsstreits.</w:t>
      </w:r>
    </w:p>
    <w:p/>
    <w:p>
      <w:pPr>
        <w:pStyle w:val="Heading2"/>
      </w:pPr>
      <w:r>
        <w:rPr>
          <w:rFonts w:ascii="Times New Roman" w:hAnsi="Times New Roman"/>
        </w:rPr>
        <w:t>Vortrag der Beklagten (Zusammenfassung)</w:t>
      </w:r>
    </w:p>
    <w:p>
      <w:pPr>
        <w:pStyle w:val="Heading3"/>
      </w:pPr>
      <w:r>
        <w:rPr>
          <w:rFonts w:ascii="Times New Roman" w:hAnsi="Times New Roman"/>
        </w:rPr>
        <w:t>Zu Antrag 1 und 2 (Mietminderung)</w:t>
      </w:r>
    </w:p>
    <w:p>
      <w:pPr>
        <w:jc w:val="left"/>
      </w:pPr>
      <w:r>
        <w:t>Die Beklagte bestreitet, dass die Schimmelbildung auf baustrukturelle Ursachen zurückzuführen ist. Hierzu legt die Beklagte ein Gegengutachten des Dipl.-Ing. Markus Breitfeld, SV für Bauschäden, Dresden, vom 20.03.2026 vor (Anlage B1). Gutachter Breitfeld kommt zu folgendem Ergebnis:</w:t>
      </w:r>
    </w:p>
    <w:p>
      <w:pPr>
        <w:ind w:left="567"/>
      </w:pPr>
      <w:r>
        <w:rPr>
          <w:i/>
        </w:rPr>
        <w:t>„Eine abschließende Bewertung ist ohne Längzeitaufzeichnung der Raumklimadaten über mindestens 8 Wochen nicht möglich. Die vorliegenden Messdaten des Klägers reichen nicht aus, um einen Lüftungsfehler auszuschließen. Das Badezimmer weist nur eine natürliche Lüftung auf (Fenster), was eine erhöhte Nutzerverantwortung begründet."</w:t>
      </w:r>
    </w:p>
    <w:p>
      <w:pPr>
        <w:jc w:val="left"/>
      </w:pPr>
      <w:r>
        <w:t>Ferner führt RA Boden-Kassau aus: Der Kläger hat in seinem Eigenprotokoll nicht nachvollziehbar dokumentiert, wie oft und wie lange gelüftet wurde. Das bloße Messen der Raumluftfeuchte reicht nicht, um ein aktives Lüftungsverhalten zu belegen.</w:t>
      </w:r>
    </w:p>
    <w:p>
      <w:pPr>
        <w:pStyle w:val="Heading3"/>
      </w:pPr>
      <w:r>
        <w:rPr>
          <w:rFonts w:ascii="Times New Roman" w:hAnsi="Times New Roman"/>
        </w:rPr>
        <w:t>Zu Antrag 3 (Mangelbeseitigung)</w:t>
      </w:r>
    </w:p>
    <w:p>
      <w:pPr>
        <w:jc w:val="left"/>
      </w:pPr>
      <w:r>
        <w:t>Die Beklagte bestreitet die Kausalität. Selbst wenn eine Wärmebrücke vorhanden sei, sei diese als bauartbedingte Eigenschaft eines Gründerzeitgebäudes nicht zwingend vom Vermieter zu beseitigen, wenn sie bei Vertragsschluss bereits vorlag. Die Beklagte verweist auf § 536b BGB: Der Kläger habe die Wohnung im Zustand von 2014 gemietet.</w:t>
      </w:r>
    </w:p>
    <w:p>
      <w:pPr>
        <w:jc w:val="left"/>
      </w:pPr>
      <w:r>
        <w:rPr>
          <w:b/>
        </w:rPr>
        <w:t>Kommentar RAin Kupfer-Pfaff (intern):</w:t>
      </w:r>
      <w:r>
        <w:t xml:space="preserve"> Dieses Argument ist unzutreffend. § 536b BGB setzt voraus, dass der Mangel bei Vertragsschluss bekannt war. Tannenkamp hat bei Einzug keine Schimmelbildung festgestellt; die Wärmebrücke hat sich erst bei veränderten klimatischen Bedingungen (besonders kalte Winter 2023/2024 und 2024/2025) als schadensträchtig erwiesen. Außerdem schließt die Kenntnis einer Wärmebrücke als abstrakte Eigenschaft nicht die Kenntnis konkreter Schimmelschäden aus.</w:t>
      </w:r>
    </w:p>
    <w:p>
      <w:pPr>
        <w:pStyle w:val="Heading3"/>
      </w:pPr>
      <w:r>
        <w:rPr>
          <w:rFonts w:ascii="Times New Roman" w:hAnsi="Times New Roman"/>
        </w:rPr>
        <w:t>Zu Antrag 4 (Schadensersatz)</w:t>
      </w:r>
    </w:p>
    <w:p>
      <w:pPr>
        <w:jc w:val="left"/>
      </w:pPr>
      <w:r>
        <w:t>Die Beklagte bestreitet die Angemessenheit der Sachverständigenkosten und weist darauf hin, dass der Kläger das Gutachten ohne vorherige Aufforderung an den Vermieter in Auftrag gegeben habe. Der Kausalzusammenhang zwischen einer angeblichen Pflichtverletzung der Beklagten und den Gutachterkosten sei nicht belegt.</w:t>
      </w:r>
    </w:p>
    <w:p/>
    <w:p>
      <w:pPr>
        <w:pStyle w:val="Heading2"/>
      </w:pPr>
      <w:r>
        <w:rPr>
          <w:rFonts w:ascii="Times New Roman" w:hAnsi="Times New Roman"/>
        </w:rPr>
        <w:t>Beweisangebote Beklagte</w:t>
      </w:r>
    </w:p>
    <w:p>
      <w:pPr>
        <w:pStyle w:val="ListBullet"/>
      </w:pPr>
      <w:r>
        <w:t>Sachverständigengutachten Breitfeld (Anlage B1)</w:t>
      </w:r>
    </w:p>
    <w:p>
      <w:pPr>
        <w:pStyle w:val="ListBullet"/>
      </w:pPr>
      <w:r>
        <w:t>Zeugin: Hausverwalterin Frau Monika Jablonski (zur internen Schadensbearbeitung)</w:t>
      </w:r>
    </w:p>
    <w:p>
      <w:pPr>
        <w:pStyle w:val="ListBullet"/>
      </w:pPr>
      <w:r>
        <w:t>Sachverständigenbeweis: Antrag auf gerichtliche Einholung eines weiteren SV-Gutachtens zur Frage der Schadensursache</w:t>
      </w:r>
    </w:p>
    <w:p/>
    <w:p>
      <w:pPr>
        <w:pStyle w:val="Heading2"/>
      </w:pPr>
      <w:r>
        <w:rPr>
          <w:rFonts w:ascii="Times New Roman" w:hAnsi="Times New Roman"/>
        </w:rPr>
        <w:t>Interne Bewertung durch RAin Kupfer-Pfaff</w:t>
      </w:r>
    </w:p>
    <w:p>
      <w:pPr>
        <w:jc w:val="left"/>
      </w:pPr>
      <w:r>
        <w:t>Das Gegengutachten Breitfeld ist schwach. Es enthält keine eigene Thermografieaufnahme und keine eigene Luftfeuchtemessung. Es beschränkt sich auf die Kritik an der Methodik Schollbachs, ohne eigene Befunde zu erheben. Die Behauptung, ein 8-wöchiges Raumklima-Langzeitmessprotokoll sei erforderlich, findet in der BGH-Rechtsprechung keine Stütze (BGH VIII ZR 271/17 verlangt keine bestimmte Messdauer, sondern eine plausible Darlegung des Nutzerverhaltens).</w:t>
      </w:r>
    </w:p>
    <w:p>
      <w:pPr>
        <w:jc w:val="left"/>
      </w:pPr>
      <w:r>
        <w:t>Die Replik (Aktenstück 15) wird diese Punkte aufgreifen und das Vollgutachten Schollbach (eingegangen 04.03.2026) als weiteres Beweismittel einführen.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 AG Leipzig 1 C 417/26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 AG Leipzig 1 C 417/26</w:t>
    </w:r>
  </w:p>
  <w:p>
    <w:pPr>
      <w:jc w:val="left"/>
      <w:pBdr>
        <w:bottom w:val="single" w:sz="6" w:space="2" w:color="3B3F45"/>
      </w:pBdr>
    </w:pPr>
    <w:r>
      <w:rPr>
        <w:rFonts w:ascii="Times New Roman" w:hAnsi="Times New Roman"/>
        <w:color w:val="6B6B66"/>
        <w:sz w:val="16"/>
      </w:rPr>
      <w:t>Gericht · 1 C 417/26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