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Gerichtlicher Vergleichsvorschlag</w:t>
      </w:r>
    </w:p>
    <w:p>
      <w:pPr>
        <w:jc w:val="left"/>
      </w:pPr>
      <w:r>
        <w:rPr>
          <w:b/>
        </w:rPr>
        <w:t>Kanzlei-AZ:</w:t>
      </w:r>
      <w:r>
        <w:t xml:space="preserve"> KP-2026-0387</w:t>
      </w:r>
    </w:p>
    <w:p>
      <w:pPr>
        <w:jc w:val="left"/>
      </w:pPr>
      <w:r>
        <w:rPr>
          <w:b/>
        </w:rPr>
        <w:t>Gericht:</w:t>
      </w:r>
      <w:r>
        <w:t xml:space="preserve"> AG Leipzig 1 C 417/26</w:t>
      </w:r>
    </w:p>
    <w:p>
      <w:pPr>
        <w:jc w:val="left"/>
      </w:pPr>
      <w:r>
        <w:rPr>
          <w:b/>
        </w:rPr>
        <w:t>Richter:</w:t>
      </w:r>
      <w:r>
        <w:t xml:space="preserve"> RiAG Hendrik Wohlmuth</w:t>
      </w:r>
    </w:p>
    <w:p>
      <w:pPr>
        <w:jc w:val="left"/>
      </w:pPr>
      <w:r>
        <w:rPr>
          <w:b/>
        </w:rPr>
        <w:t>Datum des Hinweises:</w:t>
      </w:r>
      <w:r>
        <w:t xml:space="preserve"> 22.05.2026 (nach mündlicher Verhandlung, vgl. Aktenstück 17)</w:t>
      </w:r>
    </w:p>
    <w:p/>
    <w:p>
      <w:pPr>
        <w:pStyle w:val="Heading2"/>
      </w:pPr>
      <w:r>
        <w:rPr>
          <w:rFonts w:ascii="Times New Roman" w:hAnsi="Times New Roman"/>
        </w:rPr>
        <w:t>Vergleichsvorschlag des Gerichts</w:t>
      </w:r>
    </w:p>
    <w:p>
      <w:pPr>
        <w:jc w:val="left"/>
      </w:pPr>
      <w:r>
        <w:t>Richter Wohlmuth hat nach der mündlichen Verhandlung vom 22.05.2026 folgenden Vergleichsvorschlag unterbreitet (protokolliert, vgl. Protokoll Aktenstück 17):</w:t>
      </w:r>
    </w:p>
    <w:p>
      <w:pPr>
        <w:ind w:left="567"/>
      </w:pPr>
      <w:r>
        <w:rPr>
          <w:i/>
        </w:rPr>
        <w:t>„Das Gericht regt an, dass die Parteien folgende gütliche Einigung in Betracht ziehen:</w:t>
      </w:r>
    </w:p>
    <w:p>
      <w:pPr>
        <w:ind w:left="567"/>
      </w:pPr>
    </w:p>
    <w:p>
      <w:pPr>
        <w:ind w:left="567"/>
      </w:pPr>
      <w:r>
        <w:rPr>
          <w:i/>
        </w:rPr>
        <w:t>1. Die Beklagte verpflichtet sich, innerhalb von 8 Wochen ab Vergleichsschluss eine fachgerechte Schimmelsanierung in den betroffenen Bereichen (Bad und Arbeitszimmer) durchzuführen, einschließlich einer dauerhaften Ursachenbeseitigung nach Maßgabe des Gutachtens Schollbach.</w:t>
      </w:r>
    </w:p>
    <w:p>
      <w:pPr>
        <w:ind w:left="567"/>
      </w:pPr>
    </w:p>
    <w:p>
      <w:pPr>
        <w:ind w:left="567"/>
      </w:pPr>
      <w:r>
        <w:rPr>
          <w:i/>
        </w:rPr>
        <w:t>2. Der Kläger erhält einen einmaligen Ausgleichsbetrag von 700 EUR als Anerkennung der Beeinträchtigung (ohne Anerkennung einer Rechtspflicht).</w:t>
      </w:r>
    </w:p>
    <w:p>
      <w:pPr>
        <w:ind w:left="567"/>
      </w:pPr>
    </w:p>
    <w:p>
      <w:pPr>
        <w:ind w:left="567"/>
      </w:pPr>
      <w:r>
        <w:rPr>
          <w:i/>
        </w:rPr>
        <w:t>3. Über die Minderungsquote wird mit dem Vergleich keine Regelung getroffen; das Gericht geht davon aus, dass nach Mangelbeseitigung die Minderungsfrage gegenstandslos wird.</w:t>
      </w:r>
    </w:p>
    <w:p>
      <w:pPr>
        <w:ind w:left="567"/>
      </w:pPr>
    </w:p>
    <w:p>
      <w:pPr>
        <w:ind w:left="567"/>
      </w:pPr>
      <w:r>
        <w:rPr>
          <w:i/>
        </w:rPr>
        <w:t>4. Die Kostenteilung: Kosten des Verfahrens werden gegeneinander aufgehoben.</w:t>
      </w:r>
    </w:p>
    <w:p>
      <w:pPr>
        <w:ind w:left="567"/>
      </w:pPr>
    </w:p>
    <w:p>
      <w:pPr>
        <w:ind w:left="567"/>
      </w:pPr>
      <w:r>
        <w:rPr>
          <w:i/>
        </w:rPr>
        <w:t>5. Hinsichtlich der Modernisierungsankündigung und der angekündigten Mieterhöhung entfaltet der Vergleich keine Bindungswirkung — diese Fragen bleiben einem gesonderten Verfahren vorbehalten."</w:t>
      </w:r>
    </w:p>
    <w:p/>
    <w:p>
      <w:pPr>
        <w:pStyle w:val="Heading2"/>
      </w:pPr>
      <w:r>
        <w:rPr>
          <w:rFonts w:ascii="Times New Roman" w:hAnsi="Times New Roman"/>
        </w:rPr>
        <w:t>Bewertung durch RAin Kupfer-Pfaff</w:t>
      </w:r>
    </w:p>
    <w:p>
      <w:pPr>
        <w:pStyle w:val="Heading3"/>
      </w:pPr>
      <w:r>
        <w:rPr>
          <w:rFonts w:ascii="Times New Roman" w:hAnsi="Times New Roman"/>
        </w:rPr>
        <w:t>Vorteile des Vergleichs</w:t>
      </w:r>
    </w:p>
    <w:p>
      <w:pPr>
        <w:pStyle w:val="ListBullet"/>
      </w:pPr>
      <w:r>
        <w:t>Schnelle Mangelbeseitigung ohne weiteren Rechtsmittelzug</w:t>
      </w:r>
    </w:p>
    <w:p>
      <w:pPr>
        <w:pStyle w:val="ListBullet"/>
      </w:pPr>
      <w:r>
        <w:t>Ausgleich von 700 EUR (deckt Lehmann-Feuchtemessung vollständig)</w:t>
      </w:r>
    </w:p>
    <w:p>
      <w:pPr>
        <w:pStyle w:val="ListBullet"/>
      </w:pPr>
      <w:r>
        <w:t>Sicherheit: Bei Ablehnung und Unterliegen im Urteil könnte das Gericht eine niedrigere Minderungsquote festsetzen</w:t>
      </w:r>
    </w:p>
    <w:p>
      <w:pPr>
        <w:pStyle w:val="Heading3"/>
      </w:pPr>
      <w:r>
        <w:rPr>
          <w:rFonts w:ascii="Times New Roman" w:hAnsi="Times New Roman"/>
        </w:rPr>
        <w:t>Nachteile des Vergleichs</w:t>
      </w:r>
    </w:p>
    <w:p>
      <w:pPr>
        <w:pStyle w:val="ListBullet"/>
      </w:pPr>
      <w:r>
        <w:t>Kein Ersatz der SV-Kosten Schollbach (1.240 EUR offen)</w:t>
      </w:r>
    </w:p>
    <w:p>
      <w:pPr>
        <w:pStyle w:val="ListBullet"/>
      </w:pPr>
      <w:r>
        <w:t>Keine Feststellung der Minderungsquote für rückwirkenden Zeitraum — keine Grundlage für Rückforderung der bereits einbehaltenen Minderungen</w:t>
      </w:r>
    </w:p>
    <w:p>
      <w:pPr>
        <w:pStyle w:val="ListBullet"/>
      </w:pPr>
      <w:r>
        <w:t>Kostenaufhebung: Kläger trägt seine Anwaltskosten trotz wahrscheinlichem Obsiegen selbst (nach RVG ca. 729 EUR Prozessgebühr)</w:t>
      </w:r>
    </w:p>
    <w:p>
      <w:pPr>
        <w:pStyle w:val="ListBullet"/>
      </w:pPr>
      <w:r>
        <w:t>Die Kernansprüche wegen Betriebskosten bleiben unberührt</w:t>
      </w:r>
    </w:p>
    <w:p>
      <w:pPr>
        <w:pStyle w:val="Heading3"/>
      </w:pPr>
      <w:r>
        <w:rPr>
          <w:rFonts w:ascii="Times New Roman" w:hAnsi="Times New Roman"/>
        </w:rPr>
        <w:t>Empfehlung an Mandant</w:t>
      </w:r>
    </w:p>
    <w:p>
      <w:pPr>
        <w:jc w:val="left"/>
      </w:pPr>
      <w:r>
        <w:t>Nach Rücksprache mit Herrn Tannenkamp (Telefonat 26.05.2026) lehnt dieser den Vergleich ab. Begründung des Mandanten: Er möchte eine gerichtliche Feststellung der Minderungsquote, da diese für spätere Auseinandersetzungen mit dem Vermieter (insbesondere im Zuge der angekündigten Modernisierungsmieterhöhung) wichtig sei. Außerdem sei ein Vergleich ohne vollständige Kostenerstattung für ihn nicht befriedigend.</w:t>
      </w:r>
    </w:p>
    <w:p/>
    <w:p>
      <w:pPr>
        <w:pStyle w:val="Heading2"/>
      </w:pPr>
      <w:r>
        <w:rPr>
          <w:rFonts w:ascii="Times New Roman" w:hAnsi="Times New Roman"/>
        </w:rPr>
        <w:t>Reaktion Gegenseite</w:t>
      </w:r>
    </w:p>
    <w:p>
      <w:pPr>
        <w:jc w:val="left"/>
      </w:pPr>
      <w:r>
        <w:t>RA Dr. Boden-Kassau erklärte namens der Beklagten: Der Vergleich komme nur in Betracht, wenn Punkt 3 dahingehend abgeändert werde, dass eine Minderungsquote ausdrücklich für die Vergangenheit ausgeschlossen werde. Da der Kläger dies nicht akzeptiert und der Vermieter eine Feststellung der Minderungsquote verhindern will, scheitert der Vergleich an den unvereinbaren Interessen beider Parteien.</w:t>
      </w:r>
    </w:p>
    <w:p/>
    <w:p>
      <w:pPr>
        <w:pStyle w:val="Heading2"/>
      </w:pPr>
      <w:r>
        <w:rPr>
          <w:rFonts w:ascii="Times New Roman" w:hAnsi="Times New Roman"/>
        </w:rPr>
        <w:t>Ergebnis</w:t>
      </w:r>
    </w:p>
    <w:p>
      <w:pPr>
        <w:jc w:val="left"/>
      </w:pPr>
      <w:r>
        <w:t>Kein Vergleich. Das Gericht bestimmte neuen Verhandlungstermin und Beweisaufnahme: SV Schollbach als Zeuge geladen für den 12.08.2026. Das Urteil erging am 14.09.2026 (Aktenstück 18).</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AG Leipzig 1 C 417/26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AG Leipzig 1 C 417/26</w:t>
    </w:r>
  </w:p>
  <w:p>
    <w:pPr>
      <w:jc w:val="left"/>
      <w:pBdr>
        <w:bottom w:val="single" w:sz="6" w:space="2" w:color="3B3F45"/>
      </w:pBdr>
    </w:pPr>
    <w:r>
      <w:rPr>
        <w:rFonts w:ascii="Times New Roman" w:hAnsi="Times New Roman"/>
        <w:color w:val="6B6B66"/>
        <w:sz w:val="16"/>
      </w:rPr>
      <w:t>Gericht · 1 C 417/26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