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17 — Protokoll Mündliche Verhandlung AG Leipzig 1 C 417/26</w:t>
      </w:r>
    </w:p>
    <w:p>
      <w:pPr>
        <w:jc w:val="left"/>
      </w:pPr>
      <w:r>
        <w:rPr>
          <w:b/>
        </w:rPr>
        <w:t>Gericht:</w:t>
      </w:r>
      <w:r>
        <w:t xml:space="preserve"> Amtsgericht Leipzig, Sitzungssaal 204, Bernhard-Göring-Str. 64</w:t>
      </w:r>
    </w:p>
    <w:p>
      <w:pPr>
        <w:jc w:val="left"/>
      </w:pPr>
      <w:r>
        <w:rPr>
          <w:b/>
        </w:rPr>
        <w:t>Aktenzeichen:</w:t>
      </w:r>
      <w:r>
        <w:t xml:space="preserve"> 1 C 417/26</w:t>
      </w:r>
    </w:p>
    <w:p>
      <w:pPr>
        <w:jc w:val="left"/>
      </w:pPr>
      <w:r>
        <w:rPr>
          <w:b/>
        </w:rPr>
        <w:t>Termin:</w:t>
      </w:r>
      <w:r>
        <w:t xml:space="preserve"> Freitag, 22. Mai 2026, 10:15 Uhr</w:t>
      </w:r>
    </w:p>
    <w:p>
      <w:pPr>
        <w:jc w:val="left"/>
      </w:pPr>
      <w:r>
        <w:rPr>
          <w:b/>
        </w:rPr>
        <w:t>Richter:</w:t>
      </w:r>
      <w:r>
        <w:t xml:space="preserve"> RiAG Hendrik Wohlmuth</w:t>
      </w:r>
    </w:p>
    <w:p>
      <w:pPr>
        <w:jc w:val="left"/>
      </w:pPr>
      <w:r>
        <w:rPr>
          <w:b/>
        </w:rPr>
        <w:t>Protokollführerin:</w:t>
      </w:r>
      <w:r>
        <w:t xml:space="preserve"> JA Sandra Klemm</w:t>
      </w:r>
    </w:p>
    <w:p/>
    <w:p>
      <w:pPr>
        <w:pStyle w:val="Heading2"/>
      </w:pPr>
      <w:r>
        <w:rPr>
          <w:rFonts w:ascii="Times New Roman" w:hAnsi="Times New Roman"/>
        </w:rPr>
        <w:t>Erschienene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Person</w:t>
            </w:r>
          </w:p>
        </w:tc>
        <w:tc>
          <w:tcPr>
            <w:tcW w:type="dxa" w:w="4536"/>
          </w:tcPr>
          <w:p>
            <w:r>
              <w:rPr>
                <w:rFonts w:ascii="Times New Roman" w:hAnsi="Times New Roman"/>
                <w:b/>
                <w:sz w:val="20"/>
              </w:rPr>
              <w:t>Eigenschaft</w:t>
            </w:r>
          </w:p>
        </w:tc>
      </w:tr>
      <w:tr>
        <w:tc>
          <w:tcPr>
            <w:tcW w:type="dxa" w:w="4536"/>
          </w:tcPr>
          <w:p>
            <w:r>
              <w:rPr>
                <w:rFonts w:ascii="Times New Roman" w:hAnsi="Times New Roman"/>
                <w:sz w:val="20"/>
              </w:rPr>
              <w:t>RAin Dr. Miriam Kupfer-Pfaff</w:t>
            </w:r>
          </w:p>
        </w:tc>
        <w:tc>
          <w:tcPr>
            <w:tcW w:type="dxa" w:w="4536"/>
          </w:tcPr>
          <w:p>
            <w:r>
              <w:rPr>
                <w:rFonts w:ascii="Times New Roman" w:hAnsi="Times New Roman"/>
                <w:sz w:val="20"/>
              </w:rPr>
              <w:t>Prozessbevollmächtigte des Klägers</w:t>
            </w:r>
          </w:p>
        </w:tc>
      </w:tr>
      <w:tr>
        <w:tc>
          <w:tcPr>
            <w:tcW w:type="dxa" w:w="4536"/>
          </w:tcPr>
          <w:p>
            <w:r>
              <w:rPr>
                <w:rFonts w:ascii="Times New Roman" w:hAnsi="Times New Roman"/>
                <w:sz w:val="20"/>
              </w:rPr>
              <w:t>Hannes Tannenkamp</w:t>
            </w:r>
          </w:p>
        </w:tc>
        <w:tc>
          <w:tcPr>
            <w:tcW w:type="dxa" w:w="4536"/>
          </w:tcPr>
          <w:p>
            <w:r>
              <w:rPr>
                <w:rFonts w:ascii="Times New Roman" w:hAnsi="Times New Roman"/>
                <w:sz w:val="20"/>
              </w:rPr>
              <w:t>Kläger, persönlich erschienen</w:t>
            </w:r>
          </w:p>
        </w:tc>
      </w:tr>
      <w:tr>
        <w:tc>
          <w:tcPr>
            <w:tcW w:type="dxa" w:w="4536"/>
          </w:tcPr>
          <w:p>
            <w:r>
              <w:rPr>
                <w:rFonts w:ascii="Times New Roman" w:hAnsi="Times New Roman"/>
                <w:sz w:val="20"/>
              </w:rPr>
              <w:t>RA Dr. Ferdinand Boden-Kassau</w:t>
            </w:r>
          </w:p>
        </w:tc>
        <w:tc>
          <w:tcPr>
            <w:tcW w:type="dxa" w:w="4536"/>
          </w:tcPr>
          <w:p>
            <w:r>
              <w:rPr>
                <w:rFonts w:ascii="Times New Roman" w:hAnsi="Times New Roman"/>
                <w:sz w:val="20"/>
              </w:rPr>
              <w:t>Prozessbevollmächtigter der Beklagten</w:t>
            </w:r>
          </w:p>
        </w:tc>
      </w:tr>
      <w:tr>
        <w:tc>
          <w:tcPr>
            <w:tcW w:type="dxa" w:w="4536"/>
          </w:tcPr>
          <w:p>
            <w:r>
              <w:rPr>
                <w:rFonts w:ascii="Times New Roman" w:hAnsi="Times New Roman"/>
                <w:sz w:val="20"/>
              </w:rPr>
              <w:t>— (Klaus-Ulrich Strassburger-Pellbach nicht erschienen)</w:t>
            </w:r>
          </w:p>
        </w:tc>
        <w:tc>
          <w:tcPr>
            <w:tcW w:type="dxa" w:w="4536"/>
          </w:tcPr>
          <w:p>
            <w:r>
              <w:rPr>
                <w:rFonts w:ascii="Times New Roman" w:hAnsi="Times New Roman"/>
                <w:sz w:val="20"/>
              </w:rPr>
              <w:t>Beklagte nicht persönlich</w:t>
            </w:r>
          </w:p>
        </w:tc>
      </w:tr>
    </w:tbl>
    <w:p/>
    <w:p>
      <w:pPr>
        <w:pStyle w:val="Heading2"/>
      </w:pPr>
      <w:r>
        <w:rPr>
          <w:rFonts w:ascii="Times New Roman" w:hAnsi="Times New Roman"/>
        </w:rPr>
        <w:t>Verlauf der Verhandlung</w:t>
      </w:r>
    </w:p>
    <w:p>
      <w:pPr>
        <w:jc w:val="left"/>
      </w:pPr>
      <w:r>
        <w:rPr>
          <w:b/>
        </w:rPr>
        <w:t>10:15 Uhr — Eröffnung</w:t>
      </w:r>
    </w:p>
    <w:p>
      <w:pPr>
        <w:jc w:val="left"/>
      </w:pPr>
      <w:r>
        <w:t>Der Vorsitzende eröffnet die Verhandlung, stellt die Anwesenheiten fest und liest den Klageantrag vor.</w:t>
      </w:r>
    </w:p>
    <w:p>
      <w:pPr>
        <w:jc w:val="left"/>
      </w:pPr>
      <w:r>
        <w:rPr>
          <w:b/>
        </w:rPr>
        <w:t>10:20 Uhr — Erörterung Sach- und Streitstand</w:t>
      </w:r>
    </w:p>
    <w:p>
      <w:pPr>
        <w:jc w:val="left"/>
      </w:pPr>
      <w:r>
        <w:t>Richter Wohlmuth stellt fest, dass das Gericht den Sachverhalt weitgehend als unstreitig betrachtet: Das Vorliegen von Schimmelschäden im Bad und Arbeitszimmer sei durch Fotos, Eigenprotokoll und Gutachten Schollbach gut dokumentiert. Die Streitfrage sei im Kern: Ist die Ursache baustrukturell oder auf das Nutzerverhalten zurückzuführen?</w:t>
      </w:r>
    </w:p>
    <w:p>
      <w:pPr>
        <w:jc w:val="left"/>
      </w:pPr>
      <w:r>
        <w:t>Richter Wohlmuth: „Das Gutachten Breitfeld überzeugt das Gericht nicht, da es keine eigene Befunderhebung enthält. Das Gericht neigt dazu, dem Gutachten Schollbach zu folgen, sofern keine gewichtigen Einwände erhoben werden."</w:t>
      </w:r>
    </w:p>
    <w:p>
      <w:pPr>
        <w:jc w:val="left"/>
      </w:pPr>
      <w:r>
        <w:t>RA Boden-Kassau: „Wir beantragen die Einholung eines gerichtlichen Gutachtens. Der Lüftungsfehler des Klägers kann nur durch Langzeitmessung ausgeschlossen werden."</w:t>
      </w:r>
    </w:p>
    <w:p>
      <w:pPr>
        <w:jc w:val="left"/>
      </w:pPr>
      <w:r>
        <w:t>Richter Wohlmuth: „Das gerichtliche Gutachten ist grundsätzlich möglich, würde das Verfahren aber erheblich verlängern. Ich rege an, die Parteien mögen zunächst die Möglichkeit eines Vergleichs prüfen."</w:t>
      </w:r>
    </w:p>
    <w:p>
      <w:pPr>
        <w:jc w:val="left"/>
      </w:pPr>
      <w:r>
        <w:rPr>
          <w:b/>
        </w:rPr>
        <w:t>10:45 Uhr — Vergleichsgespräch (nicht öffentlich, protokolliert in Kurzform)</w:t>
      </w:r>
    </w:p>
    <w:p>
      <w:pPr>
        <w:jc w:val="left"/>
      </w:pPr>
      <w:r>
        <w:t>Auf Bitten des Richters unterbrach die Verhandlung für 20 Minuten. Die Parteien traten in direkte Gespräche. Kein Ergebnis.</w:t>
      </w:r>
    </w:p>
    <w:p>
      <w:pPr>
        <w:jc w:val="left"/>
      </w:pPr>
      <w:r>
        <w:rPr>
          <w:b/>
        </w:rPr>
        <w:t>11:05 Uhr — Rückkehr, Vergleichsvorschlag des Gerichts</w:t>
      </w:r>
    </w:p>
    <w:p>
      <w:pPr>
        <w:jc w:val="left"/>
      </w:pPr>
      <w:r>
        <w:t>Richter Wohlmuth unterbreitet den Vergleichsvorschlag (s. Aktenstück 16).</w:t>
      </w:r>
    </w:p>
    <w:p>
      <w:pPr>
        <w:jc w:val="left"/>
      </w:pPr>
      <w:r>
        <w:t>RAin Kupfer-Pfaff: „Ich werde meinen Mandanten informieren und bis zum 31.05.2026 Rückmeldung geben."</w:t>
      </w:r>
    </w:p>
    <w:p>
      <w:pPr>
        <w:jc w:val="left"/>
      </w:pPr>
      <w:r>
        <w:t>RA Boden-Kassau: „Die Beklagte benötigt ebenfalls Bedenkzeit bis 31.05.2026."</w:t>
      </w:r>
    </w:p>
    <w:p>
      <w:pPr>
        <w:jc w:val="left"/>
      </w:pPr>
      <w:r>
        <w:rPr>
          <w:b/>
        </w:rPr>
        <w:t>11:15 Uhr — Ladung SV Schollbach</w:t>
      </w:r>
    </w:p>
    <w:p>
      <w:pPr>
        <w:jc w:val="left"/>
      </w:pPr>
      <w:r>
        <w:t>Da kein Vergleich absehbar, bestimmt Richter Wohlmuth:</w:t>
      </w:r>
    </w:p>
    <w:p>
      <w:pPr>
        <w:pStyle w:val="ListBullet"/>
      </w:pPr>
      <w:r>
        <w:t>Sachverständiger Schollbach wird als sachverständiger Zeuge zur Beweisaufnahme geladen: Termin 12.08.2026, 09:30 Uhr.</w:t>
      </w:r>
    </w:p>
    <w:p>
      <w:pPr>
        <w:pStyle w:val="ListBullet"/>
      </w:pPr>
      <w:r>
        <w:t>Das Gericht beabsichtigt, auf Grundlage der mündlichen Anhörung SV Schollbach und der vorgelegten Gutachten ein Urteil zu fällen.</w:t>
      </w:r>
    </w:p>
    <w:p>
      <w:pPr>
        <w:jc w:val="left"/>
      </w:pPr>
      <w:r>
        <w:rPr>
          <w:b/>
        </w:rPr>
        <w:t>11:20 Uhr — Schluss der Verhandlung</w:t>
      </w:r>
    </w:p>
    <w:p/>
    <w:p>
      <w:pPr>
        <w:pStyle w:val="Heading2"/>
      </w:pPr>
      <w:r>
        <w:rPr>
          <w:rFonts w:ascii="Times New Roman" w:hAnsi="Times New Roman"/>
        </w:rPr>
        <w:t>Beschlüsse / Hinweise des Gerichts</w:t>
      </w:r>
    </w:p>
    <w:p>
      <w:pPr>
        <w:pStyle w:val="ListNumber"/>
      </w:pPr>
      <w:r>
        <w:t>Schriftsatzfrist für Parteien nach Beweisaufnahme: 2 Wochen nach Termin 12.08.2026.</w:t>
      </w:r>
    </w:p>
    <w:p>
      <w:pPr>
        <w:pStyle w:val="ListNumber"/>
      </w:pPr>
      <w:r>
        <w:t>Urteilsverkündung: In der Verhandlung vom 12.08.2026 oder durch Einzelrichterbeschluss mit Zustellung.</w:t>
      </w:r>
    </w:p>
    <w:p>
      <w:pPr>
        <w:pStyle w:val="ListNumber"/>
      </w:pPr>
      <w:r>
        <w:t>Gericht weist darauf hin, dass eine Minderungsquote von 10–12 % bei nachgewiesener baustruktureller Ursache in der Rechtsprechung üblich ist.</w:t>
      </w:r>
    </w:p>
    <w:p/>
    <w:p>
      <w:pPr>
        <w:pStyle w:val="Heading2"/>
      </w:pPr>
      <w:r>
        <w:rPr>
          <w:rFonts w:ascii="Times New Roman" w:hAnsi="Times New Roman"/>
        </w:rPr>
        <w:t>Protokoll der Beweisaufnahme vom 12.08.2026</w:t>
      </w:r>
    </w:p>
    <w:p>
      <w:pPr>
        <w:jc w:val="left"/>
      </w:pPr>
      <w:r>
        <w:rPr>
          <w:b/>
        </w:rPr>
        <w:t>Zeuge:</w:t>
      </w:r>
      <w:r>
        <w:t xml:space="preserve"> Dipl.-Ing. Rainer Schollbach (öbvSV)</w:t>
      </w:r>
    </w:p>
    <w:p>
      <w:pPr>
        <w:jc w:val="left"/>
      </w:pPr>
      <w:r>
        <w:t>SV Schollbach bestätigte seine gutachterlichen Feststellungen und erläuterte die Thermografieaufnahmen. Auf Befragen von RA Boden-Kassau, ob ein intensiveres Lüften theoretisch die Kondensation verhindert hätte, antwortete SV Schollbach:</w:t>
      </w:r>
    </w:p>
    <w:p>
      <w:pPr>
        <w:ind w:left="567"/>
      </w:pPr>
      <w:r>
        <w:rPr>
          <w:i/>
        </w:rPr>
        <w:t>„Technisch wäre ein Luftwechsel von ca. 4,8-fach pro Stunde notwendig. Dies entspricht etwa dem Öffnen aller Fenster gleichzeitig für mehrere Stunden täglich. Diese Anforderung übersteigt jede zumutbare Lüftungsobliegenheit und entspricht nicht den anerkannten Regeln der Technik (DIN 1946-6). Das Bad ist für normales Wohnnutzungsverhalten ausgelegt."</w:t>
      </w:r>
    </w:p>
    <w:p>
      <w:pPr>
        <w:jc w:val="left"/>
      </w:pPr>
      <w:r>
        <w:t>RA Boden-Kassau: Keine weiteren Fragen.</w:t>
      </w:r>
    </w:p>
    <w:p>
      <w:pPr>
        <w:jc w:val="left"/>
      </w:pPr>
      <w:r>
        <w:t>RAin Kupfer-Pfaff: Keine weiteren Fragen.</w:t>
      </w:r>
    </w:p>
    <w:p>
      <w:pPr>
        <w:jc w:val="left"/>
      </w:pPr>
      <w:r>
        <w:t>Richter Wohlmuth: „Das Gericht nimmt die Aussage zur Kenntnis. Urteil ergeht am 14.09.2026."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Protokoll Mündliche Verhandlung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Protokoll Mündliche Verhandlung AG</w:t>
    </w:r>
  </w:p>
  <w:p>
    <w:pPr>
      <w:jc w:val="left"/>
      <w:pBdr>
        <w:bottom w:val="single" w:sz="6" w:space="2" w:color="7B2D3B"/>
      </w:pBdr>
    </w:pPr>
    <w:r>
      <w:rPr>
        <w:rFonts w:ascii="Times New Roman" w:hAnsi="Times New Roman"/>
        <w:color w:val="6B6B66"/>
        <w:sz w:val="16"/>
      </w:rPr>
      <w:t>Unternehmen · 1 C 417/26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