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Berufung Landgericht Leipzig 6 S 184/26</w:t>
      </w:r>
    </w:p>
    <w:p>
      <w:pPr>
        <w:jc w:val="left"/>
      </w:pPr>
      <w:r>
        <w:rPr>
          <w:b/>
        </w:rPr>
        <w:t>Kanzlei-AZ:</w:t>
      </w:r>
      <w:r>
        <w:t xml:space="preserve"> KP-2026-0387</w:t>
      </w:r>
    </w:p>
    <w:p>
      <w:pPr>
        <w:jc w:val="left"/>
      </w:pPr>
      <w:r>
        <w:rPr>
          <w:b/>
        </w:rPr>
        <w:t>Gericht:</w:t>
      </w:r>
      <w:r>
        <w:t xml:space="preserve"> Landgericht Leipzig, 6. Zivilkammer (Berufungskammer für Mietsachen)</w:t>
      </w:r>
    </w:p>
    <w:p>
      <w:pPr>
        <w:jc w:val="left"/>
      </w:pPr>
      <w:r>
        <w:rPr>
          <w:b/>
        </w:rPr>
        <w:t>Aktenzeichen:</w:t>
      </w:r>
      <w:r>
        <w:t xml:space="preserve"> LG Leipzig 6 S 184/26</w:t>
      </w:r>
    </w:p>
    <w:p>
      <w:pPr>
        <w:jc w:val="left"/>
      </w:pPr>
      <w:r>
        <w:rPr>
          <w:b/>
        </w:rPr>
        <w:t>Berufungskläger:</w:t>
      </w:r>
      <w:r>
        <w:t xml:space="preserve"> Strassburger Immobilien GmbH (Beklagte des Ausgangsverfahrens)</w:t>
      </w:r>
    </w:p>
    <w:p>
      <w:pPr>
        <w:jc w:val="left"/>
      </w:pPr>
      <w:r>
        <w:rPr>
          <w:b/>
        </w:rPr>
        <w:t>Berufungsbeklagter:</w:t>
      </w:r>
      <w:r>
        <w:t xml:space="preserve"> Hannes Tannenkamp (Kläger des Ausgangsverfahrens)</w:t>
      </w:r>
    </w:p>
    <w:p>
      <w:pPr>
        <w:jc w:val="left"/>
      </w:pPr>
      <w:r>
        <w:rPr>
          <w:b/>
        </w:rPr>
        <w:t>Berufungseinlegung:</w:t>
      </w:r>
      <w:r>
        <w:t xml:space="preserve"> 21.10.2026 (innerhalb der Monatsfrist, § 517 ZPO)</w:t>
      </w:r>
    </w:p>
    <w:p>
      <w:pPr>
        <w:jc w:val="left"/>
      </w:pPr>
      <w:r>
        <w:rPr>
          <w:b/>
        </w:rPr>
        <w:t>Berufungsbegründung eingegangen:</w:t>
      </w:r>
      <w:r>
        <w:t xml:space="preserve"> 20.11.2026</w:t>
      </w:r>
    </w:p>
    <w:p/>
    <w:p>
      <w:pPr>
        <w:pStyle w:val="Heading2"/>
      </w:pPr>
      <w:r>
        <w:rPr>
          <w:rFonts w:ascii="Times New Roman" w:hAnsi="Times New Roman"/>
        </w:rPr>
        <w:t>Berufungsanträge der Beklagten (Berufungsklägerin)</w:t>
      </w:r>
    </w:p>
    <w:p>
      <w:pPr>
        <w:pStyle w:val="ListNumber"/>
      </w:pPr>
      <w:r>
        <w:t>Das Urteil des AG Leipzig vom 14.09.2026 (1 C 417/26) wird aufgehoben, soweit die Beklagte zur Zahlung von 461,10 EUR verurteilt wurde.</w:t>
      </w:r>
    </w:p>
    <w:p>
      <w:pPr>
        <w:pStyle w:val="ListNumber"/>
      </w:pPr>
      <w:r>
        <w:t>Die Feststellung zur Minderungsquote von 12 % wird aufgehoben.</w:t>
      </w:r>
    </w:p>
    <w:p>
      <w:pPr>
        <w:pStyle w:val="ListNumber"/>
      </w:pPr>
      <w:r>
        <w:t>Die Verpflichtung zur Mangelbeseitigung wird aufgehoben.</w:t>
      </w:r>
    </w:p>
    <w:p>
      <w:pPr>
        <w:pStyle w:val="ListNumber"/>
      </w:pPr>
      <w:r>
        <w:t>Der Kläger trägt die Kosten beider Instanzen.</w:t>
      </w:r>
    </w:p>
    <w:p/>
    <w:p>
      <w:pPr>
        <w:pStyle w:val="Heading2"/>
      </w:pPr>
      <w:r>
        <w:rPr>
          <w:rFonts w:ascii="Times New Roman" w:hAnsi="Times New Roman"/>
        </w:rPr>
        <w:t>Berufungsbegründung (Zusammenfassung)</w:t>
      </w:r>
    </w:p>
    <w:p>
      <w:pPr>
        <w:jc w:val="left"/>
      </w:pPr>
      <w:r>
        <w:t>RA Dr. Boden-Kassau trägt vor:</w:t>
      </w:r>
    </w:p>
    <w:p>
      <w:pPr>
        <w:jc w:val="left"/>
      </w:pPr>
      <w:r>
        <w:rPr>
          <w:b/>
        </w:rPr>
        <w:t>Rüge 1: Unzureichende Würdigung des Gegengutachtens</w:t>
      </w:r>
    </w:p>
    <w:p>
      <w:pPr>
        <w:jc w:val="left"/>
      </w:pPr>
      <w:r>
        <w:t>Das erstinstanzliche Gericht habe das Gutachten Breitfeld zu Unrecht als methodisch unzureichend abgetan. Breitfeld sei ebenfalls qualifizierter Sachverständiger. Das Gericht hätte stattdessen ein gerichtliches Obergutachten einholen müssen. Durch die Ablehnung dieses Antrags sei das rechtliche Gehör der Beklagten verletzt (Art. 103 Abs. 1 GG, § 286 ZPO).</w:t>
      </w:r>
    </w:p>
    <w:p>
      <w:pPr>
        <w:jc w:val="left"/>
      </w:pPr>
      <w:r>
        <w:rPr>
          <w:b/>
        </w:rPr>
        <w:t>Rüge 2: Fehlerhafter Minderungsmaßstab</w:t>
      </w:r>
    </w:p>
    <w:p>
      <w:pPr>
        <w:jc w:val="left"/>
      </w:pPr>
      <w:r>
        <w:t>Die festgestellte Minderungsquote von 12 % sei zu hoch. Das Gericht habe die Gesamtbeeinträchtigung der Wohnung überbewertet. Der Schimmel betreffe lediglich ca. 0,15 m² im Badezimmer und ca. 0,35 m² im Arbeitszimmer — zusammen 0,5 m² von 78,5 m² Wohnfläche (0,64 % der Fläche). Eine Minderung von 12 % sei unverhältnismäßig.</w:t>
      </w:r>
    </w:p>
    <w:p>
      <w:pPr>
        <w:jc w:val="left"/>
      </w:pPr>
      <w:r>
        <w:rPr>
          <w:b/>
        </w:rPr>
        <w:t>Rüge 3: Mangelbeseitigungspflicht</w:t>
      </w:r>
    </w:p>
    <w:p>
      <w:pPr>
        <w:jc w:val="left"/>
      </w:pPr>
      <w:r>
        <w:t>Das Gericht habe zu Unrecht die vollständige Dämmung der Außenwand als geschuldete Mangelbeseitigung angesehen. § 535 Abs. 1 Satz 2 BGB verpflichte den Vermieter zur Erhaltung in vertragsgemäßem Zustand — nicht zur Aufrüstung auf einen Standard, der bei Vertragsschluss nicht vorhanden war. Die Wärmedämmung sei eine Modernisierungsmaßnahme (§ 555b BGB), die der Vermieter separat ankündigen dürfe.</w:t>
      </w:r>
    </w:p>
    <w:p/>
    <w:p>
      <w:pPr>
        <w:pStyle w:val="Heading2"/>
      </w:pPr>
      <w:r>
        <w:rPr>
          <w:rFonts w:ascii="Times New Roman" w:hAnsi="Times New Roman"/>
        </w:rPr>
        <w:t>Berufungserwiderung durch RAin Kupfer-Pfaff (Entwurf, noch einzureichen bis 20.12.2026)</w:t>
      </w:r>
    </w:p>
    <w:p>
      <w:pPr>
        <w:pStyle w:val="Heading3"/>
      </w:pPr>
      <w:r>
        <w:rPr>
          <w:rFonts w:ascii="Times New Roman" w:hAnsi="Times New Roman"/>
        </w:rPr>
        <w:t>Zu Rüge 1</w:t>
      </w:r>
    </w:p>
    <w:p>
      <w:pPr>
        <w:jc w:val="left"/>
      </w:pPr>
      <w:r>
        <w:t>Der Antrag auf Einholung eines gerichtlichen Gutachtens wurde gestellt, aber das Gericht hat diesen nach pflichtgemäßem Ermessen abgelehnt — dies ist prozessrechtlich zulässig (§ 144 ZPO). Das Gericht kann nach § 286 ZPO die vorliegenden Sachverständigengutachten frei würdigen und einem von ihnen folgen. Eine Pflicht zur Einholung eines dritten Gutachtens besteht nicht, wenn das Gericht dem ersten Gutachten überzeugend folgt.</w:t>
      </w:r>
    </w:p>
    <w:p>
      <w:pPr>
        <w:pStyle w:val="Heading3"/>
      </w:pPr>
      <w:r>
        <w:rPr>
          <w:rFonts w:ascii="Times New Roman" w:hAnsi="Times New Roman"/>
        </w:rPr>
        <w:t>Zu Rüge 2</w:t>
      </w:r>
    </w:p>
    <w:p>
      <w:pPr>
        <w:jc w:val="left"/>
      </w:pPr>
      <w:r>
        <w:t>Die Minderungsquote bemisst sich nicht nach der betroffenen Fläche, sondern nach der Beeinträchtigung der Gebrauchstauglichkeit. Bad und Schlafzimmer/Arbeitszimmer sind Kernräume einer Wohnung. Ein Schimmelbefall in diesen Räumen beeinträchtigt die Nutzbarkeit erheblich und birgt gesundheitliche Risiken (Aspergillus niger hat nachgewiesenes allergenes Potenzial). Die Minderungsquote von 12 % ist im Einklang mit der Rechtsprechung des LG Berlin (65 S 183/17: 10 % für Schimmel im Bad allein; hier: Schimmel in zwei Räumen, daher 12 % gerechtfertigt).</w:t>
      </w:r>
    </w:p>
    <w:p>
      <w:pPr>
        <w:pStyle w:val="Heading3"/>
      </w:pPr>
      <w:r>
        <w:rPr>
          <w:rFonts w:ascii="Times New Roman" w:hAnsi="Times New Roman"/>
        </w:rPr>
        <w:t>Zu Rüge 3</w:t>
      </w:r>
    </w:p>
    <w:p>
      <w:pPr>
        <w:jc w:val="left"/>
      </w:pPr>
      <w:r>
        <w:t>Der Vermieter schuldet nach § 535 Abs. 1 Satz 2 BGB die Erhaltung der Wohnung in einem Zustand, der vertragsgemäßen Gebrauch ermöglicht. Wenn die Außenwand des Gebäudes eine baustrukturelle Eigenschaft aufweist, die dauerhaft zu Schimmelbildung führt, muss der Vermieter diese Eigenschaft beseitigen — unabhängig davon, ob er dies als Modernisierung ausgestaltet oder als Instandhaltung. Der Mieter hat Anspruch auf Mangelfreiheit, nicht auf bloße Schimmelbeseitigung ohne Ursachenbeseitigung.</w:t>
      </w:r>
    </w:p>
    <w:p/>
    <w:p>
      <w:pPr>
        <w:pStyle w:val="Heading2"/>
      </w:pPr>
      <w:r>
        <w:rPr>
          <w:rFonts w:ascii="Times New Roman" w:hAnsi="Times New Roman"/>
        </w:rPr>
        <w:t>Verfahrensstand</w:t>
      </w:r>
    </w:p>
    <w:p>
      <w:pPr>
        <w:jc w:val="left"/>
      </w:pPr>
      <w:r>
        <w:t>Berufung anhängig beim LG Leipzig 6. Zivilkammer. Verhandlungstermin: geplant Februar 2027. Berufungserwiderung durch RAin Kupfer-Pfaff bis 20.12.2026 einzureichen.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Leipzig</w:t>
    </w:r>
  </w:p>
  <w:p>
    <w:pPr>
      <w:jc w:val="left"/>
      <w:pBdr>
        <w:bottom w:val="single" w:sz="6" w:space="2" w:color="3B3F45"/>
      </w:pBdr>
    </w:pPr>
    <w:r>
      <w:rPr>
        <w:rFonts w:ascii="Times New Roman" w:hAnsi="Times New Roman"/>
        <w:color w:val="6B6B66"/>
        <w:sz w:val="16"/>
      </w:rPr>
      <w:t>Gericht · 6 S 184/26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