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Protokoll des Unterhaltsvergleichs vom 09.03.2021 (Abschrift des Mandantenscans)</w:t>
      </w:r>
    </w:p>
    <w:p>
      <w:pPr>
        <w:jc w:val="left"/>
      </w:pPr>
      <w:r>
        <w:rPr>
          <w:b/>
        </w:rPr>
        <w:t>Amtsgericht Münster — Familiengericht</w:t>
      </w:r>
    </w:p>
    <w:p>
      <w:pPr>
        <w:jc w:val="left"/>
      </w:pPr>
      <w:r>
        <w:t>Gerichtsstraße 2–6 · 48149 Münster</w:t>
      </w:r>
    </w:p>
    <w:p>
      <w:pPr>
        <w:jc w:val="left"/>
      </w:pPr>
      <w:r>
        <w:t xml:space="preserve">Geschäfts-Nr.: </w:t>
      </w:r>
      <w:r>
        <w:rPr>
          <w:b/>
        </w:rPr>
        <w:t>44 F 2189/19</w:t>
      </w:r>
      <w:r>
        <w:t xml:space="preserve"> (Scheidungsverbund)</w:t>
      </w:r>
    </w:p>
    <w:p>
      <w:pPr>
        <w:pStyle w:val="Heading2"/>
      </w:pPr>
      <w:r>
        <w:rPr>
          <w:rFonts w:ascii="Times New Roman" w:hAnsi="Times New Roman"/>
        </w:rPr>
        <w:t>Protokollauszug</w:t>
      </w:r>
    </w:p>
    <w:p>
      <w:pPr>
        <w:jc w:val="left"/>
      </w:pPr>
      <w:r>
        <w:t>Öffentliche Sitzung des Amtsgerichts Münster — Familiengericht — vom 09.03.2021.</w:t>
      </w:r>
    </w:p>
    <w:p>
      <w:pPr>
        <w:jc w:val="left"/>
      </w:pPr>
      <w:r>
        <w:t>Gegenwärtig: Richterin am Amtsgericht Brinkhoff, als Urkundsbeamtin der Geschäftsstelle: Justizbeschäftigte Möllers.</w:t>
      </w:r>
    </w:p>
    <w:p>
      <w:pPr>
        <w:jc w:val="left"/>
      </w:pPr>
      <w:r>
        <w:t>In der Familiensache</w:t>
      </w:r>
    </w:p>
    <w:p>
      <w:pPr>
        <w:jc w:val="left"/>
      </w:pPr>
      <w:r>
        <w:rPr>
          <w:b/>
        </w:rPr>
        <w:t>Dr. Andreas Voßkamp</w:t>
      </w:r>
      <w:r>
        <w:t>, Antragsteller, Verfahrensbevollmächtigter: Rechtsanwalt Terhorst, Münster,</w:t>
      </w:r>
    </w:p>
    <w:p>
      <w:pPr>
        <w:jc w:val="left"/>
      </w:pPr>
      <w:r>
        <w:t>gegen</w:t>
      </w:r>
    </w:p>
    <w:p>
      <w:pPr>
        <w:jc w:val="left"/>
      </w:pPr>
      <w:r>
        <w:rPr>
          <w:b/>
        </w:rPr>
        <w:t>Carola Voßkamp, geborene Tendering</w:t>
      </w:r>
      <w:r>
        <w:t>, Antragsgegnerin, Verfahrensbevollmächtigte: Rechtsanwältin Schulte-Bisping, Münster,</w:t>
      </w:r>
    </w:p>
    <w:p>
      <w:pPr>
        <w:jc w:val="left"/>
      </w:pPr>
      <w:r>
        <w:t>erschienen bei Aufruf: die Beteiligten persönlich mit ihren Verfahrensbevollmächtigten.</w:t>
      </w:r>
    </w:p>
    <w:p>
      <w:pPr>
        <w:jc w:val="left"/>
      </w:pPr>
      <w:r>
        <w:t>Die Sach- und Rechtslage wurde erörtert, auch zur Folgesache nachehelicher Unterhalt. Die Beteiligten erklärten, sie wollten die Folgesache im Wege des Vergleichs erledigen, um eine streitige Entscheidung zu vermeiden. Beide Beteiligte erklärten übereinstimmend, dass die weitere berufliche Entwicklung der Antragsgegnerin nach dem beabsichtigten Wiedereinstieg in das Bankwesen derzeit nicht sicher absehbar sei.</w:t>
      </w:r>
    </w:p>
    <w:p>
      <w:pPr>
        <w:jc w:val="left"/>
      </w:pPr>
      <w:r>
        <w:t>Sodann schlossen die Beteiligten auf Vorschlag des Gerichts folgenden</w:t>
      </w:r>
    </w:p>
    <w:p>
      <w:pPr>
        <w:pStyle w:val="Heading2"/>
      </w:pPr>
      <w:r>
        <w:rPr>
          <w:rFonts w:ascii="Times New Roman" w:hAnsi="Times New Roman"/>
        </w:rPr>
        <w:t>Vergleich</w:t>
      </w:r>
    </w:p>
    <w:p>
      <w:pPr>
        <w:pStyle w:val="ListNumber"/>
      </w:pPr>
      <w:r>
        <w:t xml:space="preserve">Der Antragsteller verpflichtet sich, an die Antragsgegnerin ab Rechtskraft der Scheidung einen nachehelichen Unterhalt (Aufstockungsunterhalt) in Höhe von monatlich </w:t>
      </w:r>
      <w:r>
        <w:rPr>
          <w:b/>
        </w:rPr>
        <w:t>1.350,00 EUR</w:t>
      </w:r>
      <w:r>
        <w:t xml:space="preserve"> zu zahlen, fällig monatlich im Voraus zum dritten Werktag eines jeden Monats.</w:t>
      </w:r>
    </w:p>
    <w:p>
      <w:pPr>
        <w:pStyle w:val="ListNumber"/>
      </w:pPr>
      <w:r>
        <w:t>Der Unterhaltsberechnung liegen ein bereinigtes Nettoeinkommen des Antragstellers von rund 4.500,00 EUR und ein Teilzeiteinkommen der Antragsgegnerin im Wiedereinstieg zugrunde.</w:t>
      </w:r>
    </w:p>
    <w:p>
      <w:pPr>
        <w:pStyle w:val="ListNumber"/>
      </w:pPr>
      <w:r>
        <w:t>Die Beteiligten sind sich einig, dass mit diesem Vergleich die Folgesache nachehelicher Unterhalt insgesamt erledigt ist.</w:t>
      </w:r>
    </w:p>
    <w:p>
      <w:pPr>
        <w:pStyle w:val="ListNumber"/>
      </w:pPr>
      <w:r>
        <w:t>Die Kosten des Vergleichs werden gegeneinander aufgehoben.</w:t>
      </w:r>
    </w:p>
    <w:p>
      <w:pPr>
        <w:jc w:val="left"/>
      </w:pPr>
      <w:r>
        <w:t>Vorgespielt und genehmigt.</w:t>
      </w:r>
    </w:p>
    <w:p>
      <w:pPr>
        <w:jc w:val="left"/>
      </w:pPr>
      <w:r>
        <w:t>Der Vergleich wurde gerichtlich gebilligt. Anschließend wurde die Ehe der Beteiligten durch Beschluss geschieden; auf die Anschlussrechtsmittel wurde verzichtet.</w:t>
      </w:r>
    </w:p>
    <w:p>
      <w:pPr>
        <w:jc w:val="left"/>
      </w:pPr>
      <w:r>
        <w:t>gez. Brinkhoff — gez. Möllers</w:t>
      </w:r>
    </w:p>
    <w:p/>
    <w:p>
      <w:pPr>
        <w:jc w:val="left"/>
      </w:pPr>
      <w:r>
        <w:rPr>
          <w:i/>
        </w:rPr>
        <w:t>Kanzleivermerk (Rehbock &amp; Partner, 16.06.2026): Abschrift nach dem vom Mandanten am 11.06.2026 übersandten Scan; eine beglaubigte Ausfertigung ist beim Amtsgericht Münster angefordert und steht noch aus. Der Vergleich enthält weder eine Wertsicherungsklausel noch eine ausdrückliche Aussage zur Befristung oder Herabsetzung. Ob die Befristungsfrage 2021 bewusst offengehalten oder stillschweigend mitgeregelt wurde (vgl. Stück 07, Varianten 3.1 bis 3.3), ist anhand des Protokollzusammenhangs und der damaligen Erwerbsperspektive der Antragsgegnerin zu klären; die protokollierte Erklärung zur „nicht sicher absehbaren" beruflichen Entwicklung wird dabei eine zentrale Rolle spielen.</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Amtsgericht Münster</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Amtsgericht Münster</w:t>
    </w:r>
  </w:p>
  <w:p>
    <w:pPr>
      <w:jc w:val="left"/>
      <w:pBdr>
        <w:bottom w:val="single" w:sz="6" w:space="2" w:color="3B3F45"/>
      </w:pBdr>
    </w:pPr>
    <w:r>
      <w:rPr>
        <w:rFonts w:ascii="Times New Roman" w:hAnsi="Times New Roman"/>
        <w:color w:val="6B6B66"/>
        <w:sz w:val="16"/>
      </w:rPr>
      <w:t>Gericht · 44 F 2189/19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