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Mandatsübernahme Windsysteme Norderhof AG</w:t>
      </w:r>
    </w:p>
    <w:p>
      <w:pPr>
        <w:jc w:val="left"/>
      </w:pPr>
      <w:r>
        <w:rPr>
          <w:b/>
        </w:rPr>
        <w:t>Kanzlei:</w:t>
      </w:r>
      <w:r>
        <w:t xml:space="preserve"> Schwingenstein und Partner, Rechtsanwälte, Ballindamm 17, 20095 Hamburg</w:t>
      </w:r>
    </w:p>
    <w:p>
      <w:pPr>
        <w:jc w:val="left"/>
      </w:pPr>
      <w:r>
        <w:rPr>
          <w:b/>
        </w:rPr>
        <w:t>Bearbeiter:</w:t>
      </w:r>
      <w:r>
        <w:t xml:space="preserve"> RA Dr. Mark Roosendaal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Datum Erstgespräch:</w:t>
      </w:r>
      <w:r>
        <w:t xml:space="preserve"> 15. Januar 2026</w:t>
      </w:r>
    </w:p>
    <w:p>
      <w:pPr>
        <w:jc w:val="left"/>
      </w:pPr>
      <w:r>
        <w:rPr>
          <w:b/>
        </w:rPr>
        <w:t>Mandant:</w:t>
      </w:r>
      <w:r>
        <w:t xml:space="preserve"> Windsysteme Norderhof AG, Gottorfer Allee 88, 22848 Norderstedt</w:t>
      </w:r>
    </w:p>
    <w:p/>
    <w:p>
      <w:pPr>
        <w:pStyle w:val="Heading2"/>
      </w:pPr>
      <w:r>
        <w:rPr>
          <w:rFonts w:ascii="Times New Roman" w:hAnsi="Times New Roman"/>
        </w:rPr>
        <w:t>1. Gesprächsteilnehmer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CEO (Mandant)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Henning Norderhof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Iva Tannenmoor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Aram Eichenmuller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Rechtsabteilung (intern)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Lena Wohlgemuth, LL.M.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Dr. Mark Roosendaal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Sachverhalt laut Mandant</w:t>
      </w:r>
    </w:p>
    <w:p>
      <w:pPr>
        <w:jc w:val="left"/>
      </w:pPr>
      <w:r>
        <w:t>Die Windsysteme Norderhof AG plant ein Joint Venture mit Eickmann Wirtschaftspartner Pte. Ltd. mit Sitz in Singapur (50 Beach Road, #12-01 Shaw Tower, Singapore 189720). Eickmann soll als Vertriebspartner für Offshore-Windkomponenten im Asien-Pazifik-Raum fungieren, wobei ein erstes Pilotprojekt im Bereich Windturbinengetriebe für einen iranischen Staatskonzern im Gespräch ist.</w:t>
      </w:r>
    </w:p>
    <w:p>
      <w:pPr>
        <w:jc w:val="left"/>
      </w:pPr>
      <w:r>
        <w:t>Eickmann hat am 08. Januar 2026 einen NDA-Entwurf übermittelt. Die Rechtsabteilung von Windsysteme hat den Entwurf als „erheblich zu weitgehend" eingestuft und bittet um anwaltliche Prüfung sowie Führung der Verhandlungen.</w:t>
      </w:r>
    </w:p>
    <w:p>
      <w:pPr>
        <w:jc w:val="left"/>
      </w:pPr>
      <w:r>
        <w:rPr>
          <w:b/>
        </w:rPr>
        <w:t>Kernpunkte des Mandats:</w:t>
      </w:r>
    </w:p>
    <w:p>
      <w:pPr>
        <w:pStyle w:val="ListNumber"/>
      </w:pPr>
      <w:r>
        <w:t>Vollständiger Klauselabgleich des Eickmann-NDA-Entwurfs v1 gegenüber den Windsysteme-Mindestanforderungen.</w:t>
      </w:r>
    </w:p>
    <w:p>
      <w:pPr>
        <w:pStyle w:val="ListNumber"/>
      </w:pPr>
      <w:r>
        <w:t>Ausarbeitung eines Gegenentwurfs (Windsysteme-Version).</w:t>
      </w:r>
    </w:p>
    <w:p>
      <w:pPr>
        <w:pStyle w:val="ListNumber"/>
      </w:pPr>
      <w:r>
        <w:t>Führung oder Begleitung der Verhandlungen (Singapur-Termine geplant für KW 7/2026).</w:t>
      </w:r>
    </w:p>
    <w:p>
      <w:pPr>
        <w:pStyle w:val="ListNumber"/>
      </w:pPr>
      <w:r>
        <w:t>Prüfung der exportkontrollrechtlichen Aspekte, insbesondere Iran-Bezug (AWG, AWV, VO (EU) 267/2012).</w:t>
      </w:r>
    </w:p>
    <w:p>
      <w:pPr>
        <w:pStyle w:val="ListNumber"/>
      </w:pPr>
      <w:r>
        <w:t>Sicherstellung der GeschGehG-Konformität der vereinbarten Geheimhaltungsmaßnahmen.</w:t>
      </w:r>
    </w:p>
    <w:p/>
    <w:p>
      <w:pPr>
        <w:pStyle w:val="Heading2"/>
      </w:pPr>
      <w:r>
        <w:rPr>
          <w:rFonts w:ascii="Times New Roman" w:hAnsi="Times New Roman"/>
        </w:rPr>
        <w:t>3. Interessenkonfliktprüfung</w:t>
      </w:r>
    </w:p>
    <w:p>
      <w:pPr>
        <w:jc w:val="left"/>
      </w:pPr>
      <w:r>
        <w:t>Prüfung gemäß § 43a Abs. 4 BRAO sowie CCBE-Regeln:</w:t>
      </w:r>
    </w:p>
    <w:p>
      <w:pPr>
        <w:pStyle w:val="ListBullet"/>
      </w:pPr>
      <w:r>
        <w:t>Eickmann Wirtschaftspartner Pte. Ltd. ist weder aktueller noch ehemaliger Mandant von Schwingenstein und Partner.</w:t>
      </w:r>
    </w:p>
    <w:p>
      <w:pPr>
        <w:pStyle w:val="ListBullet"/>
      </w:pPr>
      <w:r>
        <w:t>Kein Mandat in verwandten Verfahren, das einen Interessenkonflikt begründen könnte.</w:t>
      </w:r>
    </w:p>
    <w:p>
      <w:pPr>
        <w:pStyle w:val="ListBullet"/>
      </w:pPr>
      <w:r>
        <w:t xml:space="preserve">Ergebnis: </w:t>
      </w:r>
      <w:r>
        <w:rPr>
          <w:b/>
        </w:rPr>
        <w:t>Kein Interessenkonflikt festgestellt.</w:t>
      </w:r>
      <w:r>
        <w:t xml:space="preserve"> Mandatsannahme unbedenklich.</w:t>
      </w:r>
    </w:p>
    <w:p/>
    <w:p>
      <w:pPr>
        <w:pStyle w:val="Heading2"/>
      </w:pPr>
      <w:r>
        <w:rPr>
          <w:rFonts w:ascii="Times New Roman" w:hAnsi="Times New Roman"/>
        </w:rPr>
        <w:t>4. Vollmacht</w:t>
      </w:r>
    </w:p>
    <w:p>
      <w:pPr>
        <w:jc w:val="left"/>
      </w:pPr>
      <w:r>
        <w:t>Dr. Henning Norderhof hat am 15. Januar 2026 eine Prozess- und Beratungsvollmacht für RA Dr. Mark Roosendaal unterzeichnet. Die Vollmacht umfasst:</w:t>
      </w:r>
    </w:p>
    <w:p>
      <w:pPr>
        <w:pStyle w:val="ListBullet"/>
      </w:pPr>
      <w:r>
        <w:t>Führung von Vertragsverhandlungen im Namen von Windsysteme Norderhof AG.</w:t>
      </w:r>
    </w:p>
    <w:p>
      <w:pPr>
        <w:pStyle w:val="ListBullet"/>
      </w:pPr>
      <w:r>
        <w:t>Schriftverkehr mit Eickmann Wirtschaftspartner Pte. Ltd. und deren Rechtsanwälten.</w:t>
      </w:r>
    </w:p>
    <w:p>
      <w:pPr>
        <w:pStyle w:val="ListBullet"/>
      </w:pPr>
      <w:r>
        <w:t>Korrespondenz mit dem Bundesamt für Wirtschaft und Ausfuhrkontrolle (BAFA).</w:t>
      </w:r>
    </w:p>
    <w:p>
      <w:pPr>
        <w:pStyle w:val="ListBullet"/>
      </w:pPr>
      <w:r>
        <w:t>Abschluss bindender Vereinbarungen bis zu einem Vertragsvolumen von 500.000 EUR (mit Rücksprache bei höheren Beträgen).</w:t>
      </w:r>
    </w:p>
    <w:p/>
    <w:p>
      <w:pPr>
        <w:pStyle w:val="Heading2"/>
      </w:pPr>
      <w:r>
        <w:rPr>
          <w:rFonts w:ascii="Times New Roman" w:hAnsi="Times New Roman"/>
        </w:rPr>
        <w:t>5. Honorarvereinbarung</w:t>
      </w:r>
    </w:p>
    <w:p>
      <w:pPr>
        <w:jc w:val="left"/>
      </w:pPr>
      <w:r>
        <w:t>Stundenhonorar: 420 EUR zzgl. USt. für RA Dr. Roosendaal; 280 EUR zzgl. USt. für assoziierte Anwälte.</w:t>
      </w:r>
    </w:p>
    <w:p>
      <w:pPr>
        <w:jc w:val="left"/>
      </w:pPr>
      <w:r>
        <w:t>Kostenvorschuss: 15.000 EUR, fällig bis 22. Januar 2026.</w:t>
      </w:r>
    </w:p>
    <w:p>
      <w:pPr>
        <w:jc w:val="left"/>
      </w:pPr>
      <w:r>
        <w:t>Abrechnung: monatlich.</w:t>
      </w:r>
    </w:p>
    <w:p/>
    <w:p>
      <w:pPr>
        <w:pStyle w:val="Heading2"/>
      </w:pPr>
      <w:r>
        <w:rPr>
          <w:rFonts w:ascii="Times New Roman" w:hAnsi="Times New Roman"/>
        </w:rPr>
        <w:t>6. Erste Risikoeinschätzung</w:t>
      </w:r>
    </w:p>
    <w:p>
      <w:pPr>
        <w:jc w:val="left"/>
      </w:pPr>
      <w:r>
        <w:t>Auf Basis der Erstlektüre des Eickmann-NDA-Entwurfs v1 identifiziert RA Dr. Roosendaal folgende prioritäre Risikobereiche: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Klausel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Residual-Information-Klausel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 Aushöhlung des Geheimnisschutzes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Exportkontrolle Iran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Strafbarkeitsrisiko AWG § 17, VO (EU) 267/2012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Gerichtsstand Singapur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SIAC-Klausel, deutsches Recht nicht gesichert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Laufzeit 7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Unverhältnismäßig, AGB-Kontrolle § 307 BGB fraglich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Vertragsstrafe 250.000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AGB-Kontrolle, § 307 BGB, Angemessenheit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Konzernübertragung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Eickmann kann NDA-Rechte an Dritte übertragen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Mitarbeiterklausel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Abwerbeverbot, Reichweite unklar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GeschGehG-Konformität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IT-Maßnahmen-Katalog fehlt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Nächste Schritte</w:t>
      </w:r>
    </w:p>
    <w:p>
      <w:pPr>
        <w:pStyle w:val="ListBullet"/>
      </w:pPr>
      <w:r>
        <w:t>[ ] Vollständige Analyse NDA-Entwurf v1 (Frist: 22. Januar 2026)</w:t>
      </w:r>
    </w:p>
    <w:p>
      <w:pPr>
        <w:pStyle w:val="ListBullet"/>
      </w:pPr>
      <w:r>
        <w:t>[ ] Ausarbeitung Gegenentwurf Windsysteme (Frist: 29. Januar 2026)</w:t>
      </w:r>
    </w:p>
    <w:p>
      <w:pPr>
        <w:pStyle w:val="ListBullet"/>
      </w:pPr>
      <w:r>
        <w:t>[ ] BAFA-Vorabauskunft beantragen für Iran-Projekt (Az. 4022-26/Iran-WS-188)</w:t>
      </w:r>
    </w:p>
    <w:p>
      <w:pPr>
        <w:pStyle w:val="ListBullet"/>
      </w:pPr>
      <w:r>
        <w:t>[ ] Terminabsprache Verhandlungstage Singapur</w:t>
      </w:r>
    </w:p>
    <w:p>
      <w:pPr>
        <w:pStyle w:val="ListBullet"/>
      </w:pPr>
      <w:r>
        <w:t>[ ] GeschGehG-Audit mit IT-Abteilung Windsysteme einleiten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Mandatsübernahme 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Mandatsübernahme Windsysteme Norderhof AG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