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NDA-Gegenentwurf Windsysteme Norderhof AG (v2)</w:t>
      </w:r>
    </w:p>
    <w:p>
      <w:pPr>
        <w:jc w:val="left"/>
      </w:pPr>
      <w:r>
        <w:rPr>
          <w:b/>
        </w:rPr>
        <w:t>AZ:</w:t>
      </w:r>
      <w:r>
        <w:t xml:space="preserve"> MR-2026-1118</w:t>
      </w:r>
    </w:p>
    <w:p>
      <w:pPr>
        <w:jc w:val="left"/>
      </w:pPr>
      <w:r>
        <w:rPr>
          <w:b/>
        </w:rPr>
        <w:t>Datum:</w:t>
      </w:r>
      <w:r>
        <w:t xml:space="preserve"> 30. Januar 2026</w:t>
      </w:r>
    </w:p>
    <w:p>
      <w:pPr>
        <w:jc w:val="left"/>
      </w:pPr>
      <w:r>
        <w:rPr>
          <w:b/>
        </w:rPr>
        <w:t>Verfasser:</w:t>
      </w:r>
      <w:r>
        <w:t xml:space="preserve"> RA Dr. Mark Roosendaal, Schwingenstein und Partner</w:t>
      </w:r>
    </w:p>
    <w:p>
      <w:pPr>
        <w:jc w:val="left"/>
      </w:pPr>
      <w:r>
        <w:rPr>
          <w:b/>
        </w:rPr>
        <w:t>Übermittelt an:</w:t>
      </w:r>
      <w:r>
        <w:t xml:space="preserve"> Eickmann Wirtschaftspartner Pte. Ltd. per E-Mail 30.01.2026</w:t>
      </w:r>
    </w:p>
    <w:p/>
    <w:p>
      <w:pPr>
        <w:pStyle w:val="Heading2"/>
      </w:pPr>
      <w:r>
        <w:rPr>
          <w:rFonts w:ascii="Times New Roman" w:hAnsi="Times New Roman"/>
        </w:rPr>
        <w:t>Vorbemerkung</w:t>
      </w:r>
    </w:p>
    <w:p>
      <w:pPr>
        <w:jc w:val="left"/>
      </w:pPr>
      <w:r>
        <w:t>Der nachfolgende Gegenentwurf (Version 2) ist die Antwort von Windsysteme Norderhof AG auf den Eickmann-Entwurf v1 vom 08.01.2026. Wesentliche Änderungen sind:</w:t>
      </w:r>
    </w:p>
    <w:p>
      <w:pPr>
        <w:pStyle w:val="ListNumber"/>
      </w:pPr>
      <w:r>
        <w:t>Wechsel der Vertragssprache auf Deutsch (mit optionaler EN-Übersetzung als Annex).</w:t>
      </w:r>
    </w:p>
    <w:p>
      <w:pPr>
        <w:pStyle w:val="ListNumber"/>
      </w:pPr>
      <w:r>
        <w:t>Rechtswahl deutsches Recht, Gerichtsstand Hamburg oder DIS-Schiedsklausel.</w:t>
      </w:r>
    </w:p>
    <w:p>
      <w:pPr>
        <w:pStyle w:val="ListNumber"/>
      </w:pPr>
      <w:r>
        <w:t>Streichung der Residual-Information-Klausel.</w:t>
      </w:r>
    </w:p>
    <w:p>
      <w:pPr>
        <w:pStyle w:val="ListNumber"/>
      </w:pPr>
      <w:r>
        <w:t>Laufzeit: 3 Jahre, verlängerbar um 2 Jahre durch schriftliche Einigung.</w:t>
      </w:r>
    </w:p>
    <w:p>
      <w:pPr>
        <w:pStyle w:val="ListNumber"/>
      </w:pPr>
      <w:r>
        <w:t>Einfügung einer Exportkontroll-Klausel (AWG, AWV, EU-Sanktionen).</w:t>
      </w:r>
    </w:p>
    <w:p>
      <w:pPr>
        <w:pStyle w:val="ListNumber"/>
      </w:pPr>
      <w:r>
        <w:t>Deckelung der Vertragsstrafe auf 75.000 EUR je Verstoß, maximal 300.000 EUR pro Jahr.</w:t>
      </w:r>
    </w:p>
    <w:p>
      <w:pPr>
        <w:pStyle w:val="ListNumber"/>
      </w:pPr>
      <w:r>
        <w:t>Zustimmungsvorbehalt bei Konzernübertragung.</w:t>
      </w:r>
    </w:p>
    <w:p>
      <w:pPr>
        <w:pStyle w:val="ListNumber"/>
      </w:pPr>
      <w:r>
        <w:t>Konkretisierung der Non-Solicitation-Klausel.</w:t>
      </w:r>
    </w:p>
    <w:p/>
    <w:p>
      <w:pPr>
        <w:pStyle w:val="Heading2"/>
      </w:pPr>
      <w:r>
        <w:rPr>
          <w:rFonts w:ascii="Times New Roman" w:hAnsi="Times New Roman"/>
        </w:rPr>
        <w:t>Ausgewählte Klauseln des Gegenentwurfs v2</w:t>
      </w:r>
    </w:p>
    <w:p>
      <w:pPr>
        <w:pStyle w:val="Heading3"/>
      </w:pPr>
      <w:r>
        <w:rPr>
          <w:rFonts w:ascii="Times New Roman" w:hAnsi="Times New Roman"/>
        </w:rPr>
        <w:t>§ 3 — Begriff der vertraulichen Information</w:t>
      </w:r>
    </w:p>
    <w:p>
      <w:pPr>
        <w:ind w:left="567"/>
      </w:pPr>
      <w:r>
        <w:rPr>
          <w:i/>
        </w:rPr>
        <w:t>„Als Vertrauliche Informationen im Sinne dieses Vertrags gelten alle Informationen, Daten, Unterlagen, Zeichnungen, Konstruktionspläne, Geschäftsgeheimnisse, Kundenlisten, Finanzinformationen, Strategiepapiere, technische Spezifikationen sowie sonstiges Know-how, die eine Partei (Offenbarende Partei) der anderen Partei (Empfangende Partei) in Zusammenhang mit dem Vertragszweck offenbart, unabhängig davon, ob die Offenbarung schriftlich, mündlich, elektronisch oder durch Inaugenscheinnahme von Gegenständen erfolgt.</w:t>
      </w:r>
    </w:p>
    <w:p>
      <w:pPr>
        <w:ind w:left="567"/>
      </w:pPr>
      <w:r>
        <w:rPr>
          <w:i/>
        </w:rPr>
        <w:t>Vertrauliche Informationen umfassen nicht: (a) Informationen, die zum Zeitpunkt der Offenbarung allgemein bekannt oder öffentlich zugänglich sind oder es danach werden, ohne Verschulden der Empfangenden Partei; (b) Informationen, die der Empfangenden Partei vor der Offenbarung nachweislich ohne Geheimhaltungsverpflichtung bekannt waren; (c) Informationen, die von der Empfangenden Partei unabhängig und ohne Nutzung der Vertraulichen Informationen entwickelt wurden; (d) Informationen, die von einem Dritten ohne Geheimhaltungsverpflichtung rechtmäßig erlangt wurden."</w:t>
      </w:r>
    </w:p>
    <w:p/>
    <w:p>
      <w:pPr>
        <w:pStyle w:val="Heading3"/>
      </w:pPr>
      <w:r>
        <w:rPr>
          <w:rFonts w:ascii="Times New Roman" w:hAnsi="Times New Roman"/>
        </w:rPr>
        <w:t>§ 5 — Zweckbindung</w:t>
      </w:r>
    </w:p>
    <w:p>
      <w:pPr>
        <w:ind w:left="567"/>
      </w:pPr>
      <w:r>
        <w:rPr>
          <w:i/>
        </w:rPr>
        <w:t>„Die Empfangende Partei ist berechtigt, Vertrauliche Informationen ausschließlich zum Zweck der Durchführung der gemeinsamen Due-Diligence-Prüfung sowie der Planung und Umsetzung des Joint Ventures WindAsia Pte. Ltd. zu verwenden (Vertragszweck). Eine Nutzung der Vertraulichen Informationen zu anderen Zwecken ist ohne vorherige schriftliche Einwilligung der Offenbarenden Partei untersagt."</w:t>
      </w:r>
    </w:p>
    <w:p/>
    <w:p>
      <w:pPr>
        <w:pStyle w:val="Heading3"/>
      </w:pPr>
      <w:r>
        <w:rPr>
          <w:rFonts w:ascii="Times New Roman" w:hAnsi="Times New Roman"/>
        </w:rPr>
        <w:t>§ 7 — Laufzeit</w:t>
      </w:r>
    </w:p>
    <w:p>
      <w:pPr>
        <w:ind w:left="567"/>
      </w:pPr>
      <w:r>
        <w:rPr>
          <w:i/>
        </w:rPr>
        <w:t>„Dieser Vertrag tritt am Tag der letzten Unterzeichnung in Kraft und hat eine Laufzeit von drei (3) Jahren. Nach Ablauf dieser Laufzeit kann der Vertrag durch schriftliche Einigung beider Parteien jeweils um zwei (2) Jahre verlängert werden. Eine automatische Verlängerung findet nicht statt."</w:t>
      </w:r>
    </w:p>
    <w:p/>
    <w:p>
      <w:pPr>
        <w:pStyle w:val="Heading3"/>
      </w:pPr>
      <w:r>
        <w:rPr>
          <w:rFonts w:ascii="Times New Roman" w:hAnsi="Times New Roman"/>
        </w:rPr>
        <w:t>§ 9 — Vertragsstrafe</w:t>
      </w:r>
    </w:p>
    <w:p>
      <w:pPr>
        <w:ind w:left="567"/>
      </w:pPr>
      <w:r>
        <w:rPr>
          <w:i/>
        </w:rPr>
        <w:t>„Bei schuldhafter Verletzung einer Geheimhaltungspflicht aus diesem Vertrag kann die Offenbarende Partei vom Verletzer eine Vertragsstrafe von 75.000 EUR (in Worten: fünfundsiebzigtausend Euro) je Einzelverstoß verlangen. Die Summe aller in einem Kalenderjahr verwirkten Vertragsstrafen ist auf 300.000 EUR begrenzt. Die Geltendmachung weitergehenden Schadensersatzes bleibt vorbehalten; die Vertragsstrafe wird auf den Schadensersatz angerechnet."</w:t>
      </w:r>
    </w:p>
    <w:p/>
    <w:p>
      <w:pPr>
        <w:pStyle w:val="Heading3"/>
      </w:pPr>
      <w:r>
        <w:rPr>
          <w:rFonts w:ascii="Times New Roman" w:hAnsi="Times New Roman"/>
        </w:rPr>
        <w:t>§ 11 — Exportkontrolle</w:t>
      </w:r>
    </w:p>
    <w:p>
      <w:pPr>
        <w:ind w:left="567"/>
      </w:pPr>
      <w:r>
        <w:rPr>
          <w:i/>
        </w:rPr>
        <w:t>„Beide Parteien verpflichten sich, alle anwendbaren Exportkontrollvorschriften einzuhalten, insbesondere das Außenwirtschaftsgesetz (AWG), die Außenwirtschaftsverordnung (AWV) sowie unmittelbar anwendbare EU-Verordnungen, einschließlich der VO (EU) 267/2012 (Iran-Sanktionen) und der einschlägigen Dual-Use-Verordnung. Jede Partei wird der anderen Partei unverzüglich mitteilen, wenn sie Kenntnis davon erlangt, dass vertrauliche Informationen zur Umgehung von Exportkontrollvorschriften verwendet werden könnten.</w:t>
      </w:r>
    </w:p>
    <w:p>
      <w:pPr>
        <w:ind w:left="567"/>
      </w:pPr>
      <w:r>
        <w:rPr>
          <w:i/>
        </w:rPr>
        <w:t>Die Parteien erkennen an, dass der Abschluss und die Durchführung des Joint Ventures sowie die damit verbundene Weitergabe technischer Informationen einer Genehmigung durch das Bundesamt für Wirtschaft und Ausfuhrkontrolle (BAFA) bedürfen können (Az. 4022-26/Iran-WS-188) und keine geheimhaltungspflichtigen Informationen ausgetauscht werden dürfen, bevor eine entsprechende Genehmigung vorliegt."</w:t>
      </w:r>
    </w:p>
    <w:p/>
    <w:p>
      <w:pPr>
        <w:pStyle w:val="Heading3"/>
      </w:pPr>
      <w:r>
        <w:rPr>
          <w:rFonts w:ascii="Times New Roman" w:hAnsi="Times New Roman"/>
        </w:rPr>
        <w:t>§ 15 — Gerichtsstand und anwendbares Recht</w:t>
      </w:r>
    </w:p>
    <w:p>
      <w:pPr>
        <w:ind w:left="567"/>
      </w:pPr>
      <w:r>
        <w:rPr>
          <w:i/>
        </w:rPr>
        <w:t>„Dieser Vertrag unterliegt dem Recht der Bundesrepublik Deutschland unter Ausschluss des UN-Kaufrechts (CISG). Alle Streitigkeiten, die sich aus oder im Zusammenhang mit diesem Vertrag ergeben, werden, sofern keine gütliche Einigung innerhalb von 30 Tagen erzielt werden kann, durch ein Schiedsverfahren nach der DIS-SchO 2018 unter Ausschluss des ordentlichen Rechtsweges beigelegt. Schiedsort ist Hamburg; Schiedssprache Deutsch."</w:t>
      </w:r>
    </w:p>
    <w:p/>
    <w:p>
      <w:pPr>
        <w:pStyle w:val="Heading3"/>
      </w:pPr>
      <w:r>
        <w:rPr>
          <w:rFonts w:ascii="Times New Roman" w:hAnsi="Times New Roman"/>
        </w:rPr>
        <w:t>§ 18 — Abtretungsverbot</w:t>
      </w:r>
    </w:p>
    <w:p>
      <w:pPr>
        <w:ind w:left="567"/>
      </w:pPr>
      <w:r>
        <w:rPr>
          <w:i/>
        </w:rPr>
        <w:t>„Die Rechte und Pflichten aus diesem Vertrag können von keiner Partei ohne vorherige schriftliche Einwilligung der anderen Partei auf Dritte, einschließlich Konzerngesellschaften, übertragen werden. Die Einwilligung darf nicht unbillig verweigert werden."</w:t>
      </w:r>
    </w:p>
    <w:p/>
    <w:p>
      <w:pPr>
        <w:pStyle w:val="Heading2"/>
      </w:pPr>
      <w:r>
        <w:rPr>
          <w:rFonts w:ascii="Times New Roman" w:hAnsi="Times New Roman"/>
        </w:rPr>
        <w:t>Offene Punkte / Verhandlungsmandat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Klausel</w:t>
            </w:r>
          </w:p>
        </w:tc>
        <w:tc>
          <w:tcPr>
            <w:tcW w:type="dxa" w:w="3024"/>
          </w:tcPr>
          <w:p>
            <w:r>
              <w:rPr>
                <w:rFonts w:ascii="Times New Roman" w:hAnsi="Times New Roman"/>
                <w:b/>
                <w:sz w:val="20"/>
              </w:rPr>
              <w:t>Windsysteme-Position</w:t>
            </w:r>
          </w:p>
        </w:tc>
        <w:tc>
          <w:tcPr>
            <w:tcW w:type="dxa" w:w="3024"/>
          </w:tcPr>
          <w:p>
            <w:r>
              <w:rPr>
                <w:rFonts w:ascii="Times New Roman" w:hAnsi="Times New Roman"/>
                <w:b/>
                <w:sz w:val="20"/>
              </w:rPr>
              <w:t>Verhandlungsspielraum</w:t>
            </w:r>
          </w:p>
        </w:tc>
      </w:tr>
      <w:tr>
        <w:tc>
          <w:tcPr>
            <w:tcW w:type="dxa" w:w="3024"/>
          </w:tcPr>
          <w:p>
            <w:r>
              <w:rPr>
                <w:rFonts w:ascii="Times New Roman" w:hAnsi="Times New Roman"/>
                <w:sz w:val="20"/>
              </w:rPr>
              <w:t>Laufzeit</w:t>
            </w:r>
          </w:p>
        </w:tc>
        <w:tc>
          <w:tcPr>
            <w:tcW w:type="dxa" w:w="3024"/>
          </w:tcPr>
          <w:p>
            <w:r>
              <w:rPr>
                <w:rFonts w:ascii="Times New Roman" w:hAnsi="Times New Roman"/>
                <w:sz w:val="20"/>
              </w:rPr>
              <w:t>3 Jahre</w:t>
            </w:r>
          </w:p>
        </w:tc>
        <w:tc>
          <w:tcPr>
            <w:tcW w:type="dxa" w:w="3024"/>
          </w:tcPr>
          <w:p>
            <w:r>
              <w:rPr>
                <w:rFonts w:ascii="Times New Roman" w:hAnsi="Times New Roman"/>
                <w:sz w:val="20"/>
              </w:rPr>
              <w:t>Bis 5 Jahre unter Bedingungen</w:t>
            </w:r>
          </w:p>
        </w:tc>
      </w:tr>
      <w:tr>
        <w:tc>
          <w:tcPr>
            <w:tcW w:type="dxa" w:w="3024"/>
          </w:tcPr>
          <w:p>
            <w:r>
              <w:rPr>
                <w:rFonts w:ascii="Times New Roman" w:hAnsi="Times New Roman"/>
                <w:sz w:val="20"/>
              </w:rPr>
              <w:t>Vertragsstrafe je Verstoß</w:t>
            </w:r>
          </w:p>
        </w:tc>
        <w:tc>
          <w:tcPr>
            <w:tcW w:type="dxa" w:w="3024"/>
          </w:tcPr>
          <w:p>
            <w:r>
              <w:rPr>
                <w:rFonts w:ascii="Times New Roman" w:hAnsi="Times New Roman"/>
                <w:sz w:val="20"/>
              </w:rPr>
              <w:t>75.000 EUR</w:t>
            </w:r>
          </w:p>
        </w:tc>
        <w:tc>
          <w:tcPr>
            <w:tcW w:type="dxa" w:w="3024"/>
          </w:tcPr>
          <w:p>
            <w:r>
              <w:rPr>
                <w:rFonts w:ascii="Times New Roman" w:hAnsi="Times New Roman"/>
                <w:sz w:val="20"/>
              </w:rPr>
              <w:t>Bis 120.000 EUR</w:t>
            </w:r>
          </w:p>
        </w:tc>
      </w:tr>
      <w:tr>
        <w:tc>
          <w:tcPr>
            <w:tcW w:type="dxa" w:w="3024"/>
          </w:tcPr>
          <w:p>
            <w:r>
              <w:rPr>
                <w:rFonts w:ascii="Times New Roman" w:hAnsi="Times New Roman"/>
                <w:sz w:val="20"/>
              </w:rPr>
              <w:t>Vertragsstrafe Jahresdeckel</w:t>
            </w:r>
          </w:p>
        </w:tc>
        <w:tc>
          <w:tcPr>
            <w:tcW w:type="dxa" w:w="3024"/>
          </w:tcPr>
          <w:p>
            <w:r>
              <w:rPr>
                <w:rFonts w:ascii="Times New Roman" w:hAnsi="Times New Roman"/>
                <w:sz w:val="20"/>
              </w:rPr>
              <w:t>300.000 EUR</w:t>
            </w:r>
          </w:p>
        </w:tc>
        <w:tc>
          <w:tcPr>
            <w:tcW w:type="dxa" w:w="3024"/>
          </w:tcPr>
          <w:p>
            <w:r>
              <w:rPr>
                <w:rFonts w:ascii="Times New Roman" w:hAnsi="Times New Roman"/>
                <w:sz w:val="20"/>
              </w:rPr>
              <w:t>Bis 480.000 EUR</w:t>
            </w:r>
          </w:p>
        </w:tc>
      </w:tr>
      <w:tr>
        <w:tc>
          <w:tcPr>
            <w:tcW w:type="dxa" w:w="3024"/>
          </w:tcPr>
          <w:p>
            <w:r>
              <w:rPr>
                <w:rFonts w:ascii="Times New Roman" w:hAnsi="Times New Roman"/>
                <w:sz w:val="20"/>
              </w:rPr>
              <w:t>Residual-Klausel</w:t>
            </w:r>
          </w:p>
        </w:tc>
        <w:tc>
          <w:tcPr>
            <w:tcW w:type="dxa" w:w="3024"/>
          </w:tcPr>
          <w:p>
            <w:r>
              <w:rPr>
                <w:rFonts w:ascii="Times New Roman" w:hAnsi="Times New Roman"/>
                <w:sz w:val="20"/>
              </w:rPr>
              <w:t>Vollständige Streichung</w:t>
            </w:r>
          </w:p>
        </w:tc>
        <w:tc>
          <w:tcPr>
            <w:tcW w:type="dxa" w:w="3024"/>
          </w:tcPr>
          <w:p>
            <w:r>
              <w:rPr>
                <w:rFonts w:ascii="Times New Roman" w:hAnsi="Times New Roman"/>
                <w:sz w:val="20"/>
              </w:rPr>
              <w:t>Keine</w:t>
            </w:r>
          </w:p>
        </w:tc>
      </w:tr>
      <w:tr>
        <w:tc>
          <w:tcPr>
            <w:tcW w:type="dxa" w:w="3024"/>
          </w:tcPr>
          <w:p>
            <w:r>
              <w:rPr>
                <w:rFonts w:ascii="Times New Roman" w:hAnsi="Times New Roman"/>
                <w:sz w:val="20"/>
              </w:rPr>
              <w:t>Gerichtsstand</w:t>
            </w:r>
          </w:p>
        </w:tc>
        <w:tc>
          <w:tcPr>
            <w:tcW w:type="dxa" w:w="3024"/>
          </w:tcPr>
          <w:p>
            <w:r>
              <w:rPr>
                <w:rFonts w:ascii="Times New Roman" w:hAnsi="Times New Roman"/>
                <w:sz w:val="20"/>
              </w:rPr>
              <w:t>DIS Hamburg</w:t>
            </w:r>
          </w:p>
        </w:tc>
        <w:tc>
          <w:tcPr>
            <w:tcW w:type="dxa" w:w="3024"/>
          </w:tcPr>
          <w:p>
            <w:r>
              <w:rPr>
                <w:rFonts w:ascii="Times New Roman" w:hAnsi="Times New Roman"/>
                <w:sz w:val="20"/>
              </w:rPr>
              <w:t>SIAC als absolute Untergrenze akzeptabel, wenn dt. Recht gilt</w:t>
            </w:r>
          </w:p>
        </w:tc>
      </w:tr>
      <w:tr>
        <w:tc>
          <w:tcPr>
            <w:tcW w:type="dxa" w:w="3024"/>
          </w:tcPr>
          <w:p>
            <w:r>
              <w:rPr>
                <w:rFonts w:ascii="Times New Roman" w:hAnsi="Times New Roman"/>
                <w:sz w:val="20"/>
              </w:rPr>
              <w:t>Konzernübertragung</w:t>
            </w:r>
          </w:p>
        </w:tc>
        <w:tc>
          <w:tcPr>
            <w:tcW w:type="dxa" w:w="3024"/>
          </w:tcPr>
          <w:p>
            <w:r>
              <w:rPr>
                <w:rFonts w:ascii="Times New Roman" w:hAnsi="Times New Roman"/>
                <w:sz w:val="20"/>
              </w:rPr>
              <w:t>Zustimmungsvorbehalt</w:t>
            </w:r>
          </w:p>
        </w:tc>
        <w:tc>
          <w:tcPr>
            <w:tcW w:type="dxa" w:w="3024"/>
          </w:tcPr>
          <w:p>
            <w:r>
              <w:rPr>
                <w:rFonts w:ascii="Times New Roman" w:hAnsi="Times New Roman"/>
                <w:sz w:val="20"/>
              </w:rPr>
              <w:t>Konzernunternehmen des anderen Mutterkonzerns mit Listenpflicht</w:t>
            </w:r>
          </w:p>
        </w:tc>
      </w:tr>
    </w:tbl>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NDA-Gegenentwurf Windsysteme Norderhof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NDA-Gegenentwurf Windsysteme Norderhof AG</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