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16 — GeschGehG-Prüfung: Angemessene Geheimhaltungsmaßnahmen</w:t>
      </w:r>
    </w:p>
    <w:p>
      <w:pPr>
        <w:jc w:val="left"/>
      </w:pPr>
      <w:r>
        <w:rPr>
          <w:b/>
        </w:rPr>
        <w:t>AZ:</w:t>
      </w:r>
      <w:r>
        <w:t xml:space="preserve"> MR-2026-1118</w:t>
      </w:r>
    </w:p>
    <w:p>
      <w:pPr>
        <w:jc w:val="left"/>
      </w:pPr>
      <w:r>
        <w:rPr>
          <w:b/>
        </w:rPr>
        <w:t>Thema:</w:t>
      </w:r>
      <w:r>
        <w:t xml:space="preserve"> GeschGehG §§ 2–3 Compliance-Prüfung für Windsysteme Norderhof AG</w:t>
      </w:r>
    </w:p>
    <w:p>
      <w:pPr>
        <w:jc w:val="left"/>
      </w:pPr>
      <w:r>
        <w:rPr>
          <w:b/>
        </w:rPr>
        <w:t>Stand:</w:t>
      </w:r>
      <w:r>
        <w:t xml:space="preserve"> Februar 2026</w:t>
      </w:r>
    </w:p>
    <w:p>
      <w:pPr>
        <w:jc w:val="left"/>
      </w:pPr>
      <w:r>
        <w:rPr>
          <w:b/>
        </w:rPr>
        <w:t>Rechtsgrundlagen:</w:t>
      </w:r>
      <w:r>
        <w:t xml:space="preserve"> GeschGehG §§ 2, 3, 4; RL (EU) 2016/943; BGH-Rspr. zu UWG § 17 a.F.</w:t>
      </w:r>
    </w:p>
    <w:p/>
    <w:p>
      <w:pPr>
        <w:pStyle w:val="Heading2"/>
      </w:pPr>
      <w:r>
        <w:rPr>
          <w:rFonts w:ascii="Times New Roman" w:hAnsi="Times New Roman"/>
        </w:rPr>
        <w:t>1. Rechtlicher Rahmen</w:t>
      </w:r>
    </w:p>
    <w:p>
      <w:pPr>
        <w:jc w:val="left"/>
      </w:pPr>
      <w:r>
        <w:t>Das Gesetz zum Schutz von Geschäftsgeheimnissen (GeschGehG, in Kraft seit 26.04.2019) setzt die EU-Richtlinie 2016/943 um. Zentrale Voraussetzung für den Geheimnisschutz nach § 2 Nr. 1 GeschGehG:</w:t>
      </w:r>
    </w:p>
    <w:p>
      <w:pPr>
        <w:ind w:left="567"/>
      </w:pPr>
      <w:r>
        <w:rPr>
          <w:i/>
        </w:rPr>
        <w:t>Eine Information ist ein Geschäftsgeheimnis, wenn sie:</w:t>
      </w:r>
    </w:p>
    <w:p>
      <w:pPr>
        <w:ind w:left="567"/>
      </w:pPr>
      <w:r>
        <w:rPr>
          <w:i/>
        </w:rPr>
        <w:t>(a) geheim ist (nicht allgemein bekannt oder zugänglich),</w:t>
      </w:r>
    </w:p>
    <w:p>
      <w:pPr>
        <w:ind w:left="567"/>
      </w:pPr>
      <w:r>
        <w:rPr>
          <w:i/>
        </w:rPr>
        <w:t>(b) kommerziellen Wert hat, weil sie geheim ist, und</w:t>
      </w:r>
    </w:p>
    <w:p>
      <w:pPr>
        <w:ind w:left="567"/>
      </w:pPr>
      <w:r>
        <w:rPr>
          <w:i/>
        </w:rPr>
        <w:t>(c) Gegenstand von den Umständen nach angemessenen Geheimhaltungsmaßnahmen durch ihren rechtmäßigen Inhaber ist.</w:t>
      </w:r>
    </w:p>
    <w:p>
      <w:pPr>
        <w:jc w:val="left"/>
      </w:pPr>
      <w:r>
        <w:rPr>
          <w:b/>
        </w:rPr>
        <w:t>Merkmal (c) — „angemessene Geheimhaltungsmaßnahmen"</w:t>
      </w:r>
      <w:r>
        <w:t xml:space="preserve"> ist das entscheidende operative Kriterium: Wer keine angemessenen Maßnahmen trifft, verliert den GeschGehG-Schutz, auch wenn die Information faktisch geheim bleibt.</w:t>
      </w:r>
    </w:p>
    <w:p/>
    <w:p>
      <w:pPr>
        <w:pStyle w:val="Heading2"/>
      </w:pPr>
      <w:r>
        <w:rPr>
          <w:rFonts w:ascii="Times New Roman" w:hAnsi="Times New Roman"/>
        </w:rPr>
        <w:t>2. Audit-Ergebnis Windsysteme (Januar/Februar 2026)</w:t>
      </w:r>
    </w:p>
    <w:p>
      <w:pPr>
        <w:jc w:val="left"/>
      </w:pPr>
      <w:r>
        <w:t>RA Dr. Roosendaal hat zusammen mit der IT-Abteilung und dem CISO von Windsysteme (Ralf Derstappen) eine Prüfung der bestehenden Geheimhaltungsmaßnahmen durchgeführt.</w:t>
      </w:r>
    </w:p>
    <w:p>
      <w:pPr>
        <w:pStyle w:val="Heading3"/>
      </w:pPr>
      <w:r>
        <w:rPr>
          <w:rFonts w:ascii="Times New Roman" w:hAnsi="Times New Roman"/>
        </w:rPr>
        <w:t>2.1 Technische 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Zugangskontrolle Produktionsanlagen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(Chipkarte + PIN)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Angemessen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CAD-Datenverschlüsselung (AES-256)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Angemessen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Need-to-know-Zugriffssteuerung (IT)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vorhanden (nur F&amp;E)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Verbesserungsbedarf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DLP (Data Loss Prevention) für E-Mail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Nicht 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Kritisch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Verschlüsselung Dateiserver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(BitLocker)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Angemessen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VPN-Pflicht für Remote-Zugriff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Angemessen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Penetrationstest (zuletzt)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November 2024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Regelmäßig erneuern (Q2 2026)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2.2 Organisatorische Maßnahmen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Bewertung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Geheimhaltungsvereinbarungen mit Mitarbeitern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für F&amp;E (80 %); fehlt für Produktion (55 %)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Nachholbedarf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Geheimhaltungsrichtlinie (intern)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 (2021, veraltet)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Aktualisierung erforderlich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Schulungen Geheimhaltung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Letzte Schulung 2023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Erneuern Q1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Klassifizierungssystem für Dokumente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Teilweise (nur VERTRAULICH/ÖFFENTLICH, kein STRENG VERTRAULICH)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Dreistufiges System einführen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Visitor-Management inkl. NDA-Pflicht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Vorhanden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Angemessen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GeschGehG-Konformitätslücken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Lücke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Priorität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 DLP-Lösung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Einführung bis Q2 2026 (z.B. Microsoft Purview)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Mitarbeiter-NDA fehlt für 45 % der Produktion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HOCH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Nachrüstung bis Ende März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Veraltetem Geheimhaltungsrichtlinie (2021)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Aktualisierung bis Ende Februar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Fehlendes dreistufiges Klassifizierungssystem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Einführung VERTRAULICH / STRENG VERTRAULICH / ÖFFENTLICH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Schulungen veraltet (2023)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MITTEL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Pflichtschulung Q1 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Kein regelmäßiger Pentest (Fälligkeit Q2 2026)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NIEDRIG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Terminierung Pentest-Vergabe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Empfehlungen RA Dr. Roosendaal</w:t>
      </w:r>
    </w:p>
    <w:p>
      <w:pPr>
        <w:jc w:val="left"/>
      </w:pPr>
      <w:r>
        <w:t>Die im NDA vereinbarten Geheimhaltungsmaßnahmen (Need-to-know, Verschlüsselung, Zugangskontrolle) korrespondieren mit den bestehenden technischen Maßnahmen von Windsysteme — soweit diese vorhanden sind. Damit der GeschGehG-Schutz auch im Schadensfall standhalten kann (z.B. bei Klage gegen Eickmann wegen Geheimnisverrat), muss Windsysteme nachweisen können, dass „angemessene Maßnahmen" tatsächlich bestanden.</w:t>
      </w:r>
    </w:p>
    <w:p>
      <w:pPr>
        <w:jc w:val="left"/>
      </w:pPr>
      <w:r>
        <w:rPr>
          <w:b/>
        </w:rPr>
        <w:t>Empfohlenes Maßnahmenpaket:</w:t>
      </w:r>
    </w:p>
    <w:p>
      <w:pPr>
        <w:pStyle w:val="ListNumber"/>
      </w:pPr>
      <w:r>
        <w:t>Sofortige Einführung DLP für E-Mail und Dateiserver (Q2 2026).</w:t>
      </w:r>
    </w:p>
    <w:p>
      <w:pPr>
        <w:pStyle w:val="ListNumber"/>
      </w:pPr>
      <w:r>
        <w:t>Vollständige Nachrüstung Mitarbeiter-NDAs bis Ende März 2026.</w:t>
      </w:r>
    </w:p>
    <w:p>
      <w:pPr>
        <w:pStyle w:val="ListNumber"/>
      </w:pPr>
      <w:r>
        <w:t>Aktualisierung der internen Geheimhaltungsrichtlinie bis Ende Februar 2026.</w:t>
      </w:r>
    </w:p>
    <w:p>
      <w:pPr>
        <w:pStyle w:val="ListNumber"/>
      </w:pPr>
      <w:r>
        <w:t>Einführung dreistufiges Dokumentenklassifizierungssystem.</w:t>
      </w:r>
    </w:p>
    <w:p>
      <w:pPr>
        <w:pStyle w:val="ListNumber"/>
      </w:pPr>
      <w:r>
        <w:t>Pflichtschulung Geheimhaltung für alle Mitarbeiter mit NDA-Zugang, Q1 2026.</w:t>
      </w:r>
    </w:p>
    <w:p/>
    <w:p>
      <w:pPr>
        <w:pStyle w:val="Heading2"/>
      </w:pPr>
      <w:r>
        <w:rPr>
          <w:rFonts w:ascii="Times New Roman" w:hAnsi="Times New Roman"/>
        </w:rPr>
        <w:t>5. NDA-Konsequenz</w:t>
      </w:r>
    </w:p>
    <w:p>
      <w:pPr>
        <w:jc w:val="left"/>
      </w:pPr>
      <w:r>
        <w:t>Die GeschGehG-Konformitätsanalyse floss in die NDA-Verhandlungen ein: § 16 NDA v7 verpflichtet beide Parteien, während der NDA-Laufzeit einen Mindeststandard an Geheimhaltungsmaßnahmen (definiert in Annex C) einzuhalten. Windsysteme nutzt diesen Annex als internen Compliance-Fahrplan.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Windsysteme Norderhof AG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7B2D3B"/>
        <w:sz w:val="24"/>
      </w:rPr>
      <w:t>Windsysteme Norderhof AG</w:t>
    </w:r>
  </w:p>
  <w:p>
    <w:pPr>
      <w:jc w:val="left"/>
      <w:pBdr>
        <w:bottom w:val="single" w:sz="6" w:space="2" w:color="7B2D3B"/>
      </w:pBdr>
    </w:pPr>
    <w:r>
      <w:rPr>
        <w:rFonts w:ascii="Times New Roman" w:hAnsi="Times New Roman"/>
        <w:color w:val="6B6B66"/>
        <w:sz w:val="16"/>
      </w:rPr>
      <w:t>Unternehmen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