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Finale Fassung NDA v7 (Textfassung)</w:t>
      </w:r>
    </w:p>
    <w:p>
      <w:pPr>
        <w:jc w:val="left"/>
      </w:pPr>
      <w:r>
        <w:rPr>
          <w:b/>
        </w:rPr>
        <w:t>Geheimhaltungsvereinbarung</w:t>
      </w:r>
    </w:p>
    <w:p>
      <w:pPr>
        <w:jc w:val="left"/>
      </w:pPr>
      <w:r>
        <w:rPr>
          <w:b/>
        </w:rPr>
        <w:t>zwischen</w:t>
      </w:r>
    </w:p>
    <w:p>
      <w:pPr>
        <w:jc w:val="left"/>
      </w:pPr>
      <w:r>
        <w:t>Windsysteme Norderhof AG, Gottorfer Allee 88, 22848 Norderstedt, Deutschland</w:t>
      </w:r>
    </w:p>
    <w:p>
      <w:pPr>
        <w:jc w:val="left"/>
      </w:pPr>
      <w:r>
        <w:t>(nachfolgend „Windsysteme")</w:t>
      </w:r>
    </w:p>
    <w:p>
      <w:pPr>
        <w:jc w:val="left"/>
      </w:pPr>
      <w:r>
        <w:rPr>
          <w:b/>
        </w:rPr>
        <w:t>und</w:t>
      </w:r>
    </w:p>
    <w:p>
      <w:pPr>
        <w:jc w:val="left"/>
      </w:pPr>
      <w:r>
        <w:t>Eickmann Wirtschaftspartner Pte. Ltd., 50 Beach Road, #12-01 Shaw Tower, Singapore 189720</w:t>
      </w:r>
    </w:p>
    <w:p>
      <w:pPr>
        <w:jc w:val="left"/>
      </w:pPr>
      <w:r>
        <w:t>(nachfolgend „Eickmann")</w:t>
      </w:r>
    </w:p>
    <w:p>
      <w:pPr>
        <w:jc w:val="left"/>
      </w:pPr>
      <w:r>
        <w:rPr>
          <w:b/>
        </w:rPr>
        <w:t>Version:</w:t>
      </w:r>
      <w:r>
        <w:t xml:space="preserve"> NDA v7 (25. Februar 2026)</w:t>
      </w:r>
    </w:p>
    <w:p>
      <w:pPr>
        <w:jc w:val="left"/>
      </w:pPr>
      <w:r>
        <w:rPr>
          <w:b/>
        </w:rPr>
        <w:t>AZ Kanzlei:</w:t>
      </w:r>
      <w:r>
        <w:t xml:space="preserve"> MR-2026-1118</w:t>
      </w:r>
    </w:p>
    <w:p/>
    <w:p>
      <w:pPr>
        <w:pStyle w:val="Heading2"/>
      </w:pPr>
      <w:r>
        <w:rPr>
          <w:rFonts w:ascii="Times New Roman" w:hAnsi="Times New Roman"/>
        </w:rPr>
        <w:t>Präambel</w:t>
      </w:r>
    </w:p>
    <w:p>
      <w:pPr>
        <w:jc w:val="left"/>
      </w:pPr>
      <w:r>
        <w:t>Die Parteien beabsichtigen, ein Joint Venture im Bereich Offshore-Windkraftkomponenten für den Asien-Pazifik-Markt zu gründen (Arbeitstitel: WindAsia Pte. Ltd.). Im Rahmen der Vertragsverhandlungen und der Zusammenarbeit werden die Parteien einander vertrauliche Informationen offenbaren. Die Parteien schließen daher diese Geheimhaltungsvereinbarung (nachfolgend „Vertrag") ab.</w:t>
      </w:r>
    </w:p>
    <w:p/>
    <w:p>
      <w:pPr>
        <w:pStyle w:val="Heading2"/>
      </w:pPr>
      <w:r>
        <w:rPr>
          <w:rFonts w:ascii="Times New Roman" w:hAnsi="Times New Roman"/>
        </w:rPr>
        <w:t>§ 1 — Vertragsparteien und Vertragszweck</w:t>
      </w:r>
    </w:p>
    <w:p>
      <w:pPr>
        <w:jc w:val="left"/>
      </w:pPr>
      <w:r>
        <w:t>(1) Vertragsparteien sind Windsysteme Norderhof AG und Eickmann Wirtschaftspartner Pte. Ltd.</w:t>
      </w:r>
    </w:p>
    <w:p>
      <w:pPr>
        <w:jc w:val="left"/>
      </w:pPr>
      <w:r>
        <w:t>(2) Zweck dieses Vertrags ist die Regelung des Austauschs und des Schutzes vertraulicher Informationen im Rahmen der Due-Diligence-Prüfung, der Verhandlung des Joint-Venture-Hauptvertrags sowie des Betriebs des geplanten Joint Ventures WindAsia Pte. Ltd.</w:t>
      </w:r>
    </w:p>
    <w:p/>
    <w:p>
      <w:pPr>
        <w:pStyle w:val="Heading2"/>
      </w:pPr>
      <w:r>
        <w:rPr>
          <w:rFonts w:ascii="Times New Roman" w:hAnsi="Times New Roman"/>
        </w:rPr>
        <w:t>§ 2 — Begriffsbestimmungen</w:t>
      </w:r>
    </w:p>
    <w:p>
      <w:pPr>
        <w:jc w:val="left"/>
      </w:pPr>
      <w:r>
        <w:t>„Offenbarende Partei": Die Partei, die Vertrauliche Informationen offenbart.</w:t>
      </w:r>
    </w:p>
    <w:p>
      <w:pPr>
        <w:jc w:val="left"/>
      </w:pPr>
      <w:r>
        <w:t>„Empfangende Partei": Die Partei, die Vertrauliche Informationen empfängt.</w:t>
      </w:r>
    </w:p>
    <w:p>
      <w:pPr>
        <w:jc w:val="left"/>
      </w:pPr>
      <w:r>
        <w:t>„Vertreter": Mitarbeiter, Berater, Subunternehmer und sonstige Personen, die im Auftrag einer Partei handeln.</w:t>
      </w:r>
    </w:p>
    <w:p/>
    <w:p>
      <w:pPr>
        <w:pStyle w:val="Heading2"/>
      </w:pPr>
      <w:r>
        <w:rPr>
          <w:rFonts w:ascii="Times New Roman" w:hAnsi="Times New Roman"/>
        </w:rPr>
        <w:t>§ 3 — Begriff der Vertraulichen Information</w:t>
      </w:r>
    </w:p>
    <w:p>
      <w:pPr>
        <w:jc w:val="left"/>
      </w:pPr>
      <w:r>
        <w:t>(1) Als Vertrauliche Informationen gelten alle Informationen, Daten, Unterlagen, Zeichnungen, Konstruktionspläne, Geschäftsgeheimnisse, Kundenlisten, Finanzinformationen, Strategiepapiere, technische Spezifikationen sowie sonstiges Know-how, die im Rahmen des Vertragszwecks offenbart werden.</w:t>
      </w:r>
    </w:p>
    <w:p>
      <w:pPr>
        <w:jc w:val="left"/>
      </w:pPr>
      <w:r>
        <w:t>(2) Schriftlich offenbarte Informationen sind binnen 48 Stunden als „Vertraulich" zu kennzeichnen. Für technische Konstruktionszeichnungen und CAD-Daten gilt die Vertraulichkeit ohne Kennzeichnungspflicht.</w:t>
      </w:r>
    </w:p>
    <w:p>
      <w:pPr>
        <w:jc w:val="left"/>
      </w:pPr>
      <w:r>
        <w:t>(3) Nicht als Vertrauliche Informationen gelten Informationen, die: (a) allgemein bekannt oder zugänglich sind oder werden ohne Verschulden der Empfangenden Partei; (b) der Empfangenden Partei vor Offenbarung nachweislich bekannt waren; (c) von der Empfangenden Partei unabhängig entwickelt wurden; (d) von einem Dritten ohne Geheimhaltungspflicht rechtmäßig erlangt wurden.</w:t>
      </w:r>
    </w:p>
    <w:p/>
    <w:p>
      <w:pPr>
        <w:pStyle w:val="Heading2"/>
      </w:pPr>
      <w:r>
        <w:rPr>
          <w:rFonts w:ascii="Times New Roman" w:hAnsi="Times New Roman"/>
        </w:rPr>
        <w:t>§ 5 — Zweckbindung</w:t>
      </w:r>
    </w:p>
    <w:p>
      <w:pPr>
        <w:jc w:val="left"/>
      </w:pPr>
      <w:r>
        <w:t>(1) Vertrauliche Informationen dürfen ausschließlich zum Vertragszweck verwendet werden. (2) Nutzung für eigene Produktentwicklungen außerhalb des Vertragszwecks: verboten. (3) Need-to-know-Prinzip; alle eingebundenen Personen schriftlich zu verpflichten.</w:t>
      </w:r>
    </w:p>
    <w:p/>
    <w:p>
      <w:pPr>
        <w:pStyle w:val="Heading2"/>
      </w:pPr>
      <w:r>
        <w:rPr>
          <w:rFonts w:ascii="Times New Roman" w:hAnsi="Times New Roman"/>
        </w:rPr>
        <w:t>§ 7 — Laufzeit</w:t>
      </w:r>
    </w:p>
    <w:p>
      <w:pPr>
        <w:jc w:val="left"/>
      </w:pPr>
      <w:r>
        <w:t>Grundlaufzeit 3 Jahre; automatische Verlängerung um 2 Jahre bei JV-Hauptvertragsabschluss innerhalb von 24 Monaten; zweite Verlängerung um 2 Jahre durch schriftliche Einigung. Maximale Gesamtlaufzeit: 7 Jahre.</w:t>
      </w:r>
    </w:p>
    <w:p/>
    <w:p>
      <w:pPr>
        <w:pStyle w:val="Heading2"/>
      </w:pPr>
      <w:r>
        <w:rPr>
          <w:rFonts w:ascii="Times New Roman" w:hAnsi="Times New Roman"/>
        </w:rPr>
        <w:t>§ 8 — Rückgabe und Vernichtung</w:t>
      </w:r>
    </w:p>
    <w:p>
      <w:pPr>
        <w:jc w:val="left"/>
      </w:pPr>
      <w:r>
        <w:t>Vollständige Rückgabe oder Vernichtung nach DIN 66399 P-4 binnen 10 Werktagen auf Anforderung. Backup-Systeme: Löschung im nächsten Rotationszyklus, max. 90 Tage. Vernichtungsprotokoll binnen 15 Werktagen.</w:t>
      </w:r>
    </w:p>
    <w:p/>
    <w:p>
      <w:pPr>
        <w:pStyle w:val="Heading2"/>
      </w:pPr>
      <w:r>
        <w:rPr>
          <w:rFonts w:ascii="Times New Roman" w:hAnsi="Times New Roman"/>
        </w:rPr>
        <w:t>§ 9 — Vertragsstrafe</w:t>
      </w:r>
    </w:p>
    <w:p>
      <w:pPr>
        <w:jc w:val="left"/>
      </w:pPr>
      <w:r>
        <w:t>Fahrlässige Verletzung: 50.000 EUR; grob fahrlässig/vorsätzlich: 120.000 EUR. Jahresdeckel: 480.000 EUR. Schadensersatz bleibt vorbehalten.</w:t>
      </w:r>
    </w:p>
    <w:p/>
    <w:p>
      <w:pPr>
        <w:pStyle w:val="Heading2"/>
      </w:pPr>
      <w:r>
        <w:rPr>
          <w:rFonts w:ascii="Times New Roman" w:hAnsi="Times New Roman"/>
        </w:rPr>
        <w:t>§ 10 — Ausnahmen von der Geheimhaltungspflicht</w:t>
      </w:r>
    </w:p>
    <w:p>
      <w:pPr>
        <w:jc w:val="left"/>
      </w:pPr>
      <w:r>
        <w:t>Offenlegung auf gesetzliche Anordnung: unverzügliche Benachrichtigung der Offenbarenden Partei vor Offenlegung (soweit rechtlich zulässig). Beschränkung auf das gesetzlich Erforderliche.</w:t>
      </w:r>
    </w:p>
    <w:p/>
    <w:p>
      <w:pPr>
        <w:pStyle w:val="Heading2"/>
      </w:pPr>
      <w:r>
        <w:rPr>
          <w:rFonts w:ascii="Times New Roman" w:hAnsi="Times New Roman"/>
        </w:rPr>
        <w:t>§ 11 — Exportkontrolle und Sanktionen</w:t>
      </w:r>
    </w:p>
    <w:p>
      <w:pPr>
        <w:jc w:val="left"/>
      </w:pPr>
      <w:r>
        <w:t>Einhaltung AWG, AWV, VO (EU) 267/2012, VO (EU) 2021/821. Iran-Kontext: Informationsaustausch nur nach positiver BAFA-Vorabauskunft (Az. 4022-26/Iran-WS-188). 9-Monats-Option: Ausklammerung Iran-Projekt bei ausbleibendem BAFA-Bescheid. Sonderkündigungsrecht bei Sanktionsverstoß.</w:t>
      </w:r>
    </w:p>
    <w:p/>
    <w:p>
      <w:pPr>
        <w:pStyle w:val="Heading2"/>
      </w:pPr>
      <w:r>
        <w:rPr>
          <w:rFonts w:ascii="Times New Roman" w:hAnsi="Times New Roman"/>
        </w:rPr>
        <w:t>§ 12 — Abwerbeverbot</w:t>
      </w:r>
    </w:p>
    <w:p>
      <w:pPr>
        <w:jc w:val="left"/>
      </w:pPr>
      <w:r>
        <w:t>Beide Parteien: kein direktes/indirektes Abwerben der Annex-A-Mitarbeiter während Laufzeit + 2 Jahre. Vertragsstrafe: 100.000 EUR je Verstoß, Jahresdeckel 400.000 EUR. Ausnahme: Eigeninitiative des Mitarbeiters.</w:t>
      </w:r>
    </w:p>
    <w:p/>
    <w:p>
      <w:pPr>
        <w:pStyle w:val="Heading2"/>
      </w:pPr>
      <w:r>
        <w:rPr>
          <w:rFonts w:ascii="Times New Roman" w:hAnsi="Times New Roman"/>
        </w:rPr>
        <w:t>§ 13 — Keine Lizenzgewährung</w:t>
      </w:r>
    </w:p>
    <w:p>
      <w:pPr>
        <w:jc w:val="left"/>
      </w:pPr>
      <w:r>
        <w:t>Dieser Vertrag begründet keine Lizenzrechte an Schutzrechten oder Know-how der Offenbarenden Partei.</w:t>
      </w:r>
    </w:p>
    <w:p/>
    <w:p>
      <w:pPr>
        <w:pStyle w:val="Heading2"/>
      </w:pPr>
      <w:r>
        <w:rPr>
          <w:rFonts w:ascii="Times New Roman" w:hAnsi="Times New Roman"/>
        </w:rPr>
        <w:t>§ 14 — Haftungsbeschränkung für Folgeschäden</w:t>
      </w:r>
    </w:p>
    <w:p>
      <w:pPr>
        <w:jc w:val="left"/>
      </w:pPr>
      <w:r>
        <w:t>Keine Partei haftet für mittelbare Schäden, entgangenen Gewinn oder Folgeschäden aus diesem Vertrag, außer bei Vorsatz oder grober Fahrlässigkeit.</w:t>
      </w:r>
    </w:p>
    <w:p/>
    <w:p>
      <w:pPr>
        <w:pStyle w:val="Heading2"/>
      </w:pPr>
      <w:r>
        <w:rPr>
          <w:rFonts w:ascii="Times New Roman" w:hAnsi="Times New Roman"/>
        </w:rPr>
        <w:t>§ 15 — Anwendbares Recht und Streitbeilegung</w:t>
      </w:r>
    </w:p>
    <w:p>
      <w:pPr>
        <w:jc w:val="left"/>
      </w:pPr>
      <w:r>
        <w:t>Deutsches Recht, Ausschluss CISG. DIS-Schiedsverfahren, Hamburg, Deutsch, 3 Schiedsrichter. Einstweiliger Rechtsschutz vor staatlichen Gerichten bleibt möglich.</w:t>
      </w:r>
    </w:p>
    <w:p/>
    <w:p>
      <w:pPr>
        <w:pStyle w:val="Heading2"/>
      </w:pPr>
      <w:r>
        <w:rPr>
          <w:rFonts w:ascii="Times New Roman" w:hAnsi="Times New Roman"/>
        </w:rPr>
        <w:t>§ 16 — Geheimhaltungsmaßnahmen</w:t>
      </w:r>
    </w:p>
    <w:p>
      <w:pPr>
        <w:jc w:val="left"/>
      </w:pPr>
      <w:r>
        <w:t>Beide Parteien verpflichten sich, während der Laufzeit den in Annex C definierten Mindeststandard an Geheimhaltungsmaßnahmen einzuhalten.</w:t>
      </w:r>
    </w:p>
    <w:p/>
    <w:p>
      <w:pPr>
        <w:pStyle w:val="Heading2"/>
      </w:pPr>
      <w:r>
        <w:rPr>
          <w:rFonts w:ascii="Times New Roman" w:hAnsi="Times New Roman"/>
        </w:rPr>
        <w:t>§ 17 — Salvatorische Klausel</w:t>
      </w:r>
    </w:p>
    <w:p>
      <w:pPr>
        <w:jc w:val="left"/>
      </w:pPr>
      <w:r>
        <w:t>Unwirksame Klauseln werden durch die rechtlich zulässige Regelung ersetzt, die dem wirtschaftlichen Zweck der unwirksamen Klausel am nächsten kommt.</w:t>
      </w:r>
    </w:p>
    <w:p/>
    <w:p>
      <w:pPr>
        <w:pStyle w:val="Heading2"/>
      </w:pPr>
      <w:r>
        <w:rPr>
          <w:rFonts w:ascii="Times New Roman" w:hAnsi="Times New Roman"/>
        </w:rPr>
        <w:t>§ 18 — Übertragungsverbot und Konzernübertragung</w:t>
      </w:r>
    </w:p>
    <w:p>
      <w:pPr>
        <w:jc w:val="left"/>
      </w:pPr>
      <w:r>
        <w:t>Grundsätzliches Übertragungsverbot. Whitelist-Übertragungen (Annex B) ohne Zustimmung, mit Benachrichtigungspflicht und Schuldbeitritt. Mehr Novin Energy Co. und Gesellschaften in sanktionierten Rechtsräumen ausdrücklich ausgeschlossen.</w:t>
      </w:r>
    </w:p>
    <w:p/>
    <w:p>
      <w:pPr>
        <w:pStyle w:val="Heading2"/>
      </w:pPr>
      <w:r>
        <w:rPr>
          <w:rFonts w:ascii="Times New Roman" w:hAnsi="Times New Roman"/>
        </w:rPr>
        <w:t>§ 19 — Schriftformerfordernis</w:t>
      </w:r>
    </w:p>
    <w:p>
      <w:pPr>
        <w:jc w:val="left"/>
      </w:pPr>
      <w:r>
        <w:t>Änderungen nur schriftlich und von beiden Parteien unterzeichnet wirksam.</w:t>
      </w:r>
    </w:p>
    <w:p/>
    <w:p>
      <w:pPr>
        <w:pStyle w:val="Heading2"/>
      </w:pPr>
      <w:r>
        <w:rPr>
          <w:rFonts w:ascii="Times New Roman" w:hAnsi="Times New Roman"/>
        </w:rPr>
        <w:t>§ 20 — Gesamte Vereinbarung</w:t>
      </w:r>
    </w:p>
    <w:p>
      <w:pPr>
        <w:jc w:val="left"/>
      </w:pPr>
      <w:r>
        <w:t>Dieser Vertrag ersetzt alle vorherigen Geheimhaltungsvereinbarungen zwischen den Parteien zum Vertragszweck.</w:t>
      </w:r>
    </w:p>
    <w:p/>
    <w:p>
      <w:pPr>
        <w:pStyle w:val="Heading2"/>
      </w:pPr>
      <w:r>
        <w:rPr>
          <w:rFonts w:ascii="Times New Roman" w:hAnsi="Times New Roman"/>
        </w:rPr>
        <w:t>Unterschriften</w:t>
      </w:r>
    </w:p>
    <w:p>
      <w:pPr>
        <w:jc w:val="left"/>
      </w:pPr>
      <w:r>
        <w:t>Windsysteme Norderhof AG, Norderstedt:</w:t>
      </w:r>
    </w:p>
    <w:p>
      <w:pPr>
        <w:jc w:val="left"/>
      </w:pPr>
      <w:r>
        <w:t>Dr. Henning Norderhof (CEO) _________________________ Datum: 25.02.2026</w:t>
      </w:r>
    </w:p>
    <w:p>
      <w:pPr>
        <w:jc w:val="left"/>
      </w:pPr>
      <w:r>
        <w:t>Dr. Aram Eichenmuller (CFO) _________________________ Datum: 25.02.2026</w:t>
      </w:r>
    </w:p>
    <w:p>
      <w:pPr>
        <w:jc w:val="left"/>
      </w:pPr>
      <w:r>
        <w:t>Eickmann Wirtschaftspartner Pte. Ltd., Singapur:</w:t>
      </w:r>
    </w:p>
    <w:p>
      <w:pPr>
        <w:jc w:val="left"/>
      </w:pPr>
      <w:r>
        <w:t>Frederick Eickmann (Managing Director) _________________________ Datum: 25.02.2026</w:t>
      </w:r>
    </w:p>
    <w:p/>
    <w:p>
      <w:pPr>
        <w:jc w:val="left"/>
      </w:pPr>
      <w:r>
        <w:rPr>
          <w:b/>
        </w:rPr>
        <w:t>Annexe:</w:t>
      </w:r>
    </w:p>
    <w:p>
      <w:pPr>
        <w:pStyle w:val="ListBullet"/>
      </w:pPr>
      <w:r>
        <w:t>Annex A: Liste Schlüsselmitarbeiter (Non-Solicitation)</w:t>
      </w:r>
    </w:p>
    <w:p>
      <w:pPr>
        <w:pStyle w:val="ListBullet"/>
      </w:pPr>
      <w:r>
        <w:t>Annex B: Whitelist Konzerngesellschaften Eickmann</w:t>
      </w:r>
    </w:p>
    <w:p>
      <w:pPr>
        <w:pStyle w:val="ListBullet"/>
      </w:pPr>
      <w:r>
        <w:t>Annex C: Mindestanforderungen Geheimhaltungsmaßnahmen (GeschGehG-Compliance)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Windsysteme Norderhof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Windsysteme Norderhof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Gottorfer Allee 88, 22848 Norderstedt, Deutschland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