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Anwaltlicher Abschlussvermerk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Datum:</w:t>
      </w:r>
      <w:r>
        <w:t xml:space="preserve"> 26. Februar 2026</w:t>
      </w:r>
    </w:p>
    <w:p>
      <w:pPr>
        <w:jc w:val="left"/>
      </w:pPr>
      <w:r>
        <w:rPr>
          <w:b/>
        </w:rPr>
        <w:t>Verfasser:</w:t>
      </w:r>
      <w:r>
        <w:t xml:space="preserve"> RA Dr. Mark Roosendaal, Schwingenstein und Partner</w:t>
      </w:r>
    </w:p>
    <w:p>
      <w:pPr>
        <w:jc w:val="left"/>
      </w:pPr>
      <w:r>
        <w:rPr>
          <w:b/>
        </w:rPr>
        <w:t>An:</w:t>
      </w:r>
      <w:r>
        <w:t xml:space="preserve"> Dr. Henning Norderhof, CEO Windsysteme Norderhof AG</w:t>
      </w:r>
    </w:p>
    <w:p/>
    <w:p>
      <w:pPr>
        <w:pStyle w:val="Heading2"/>
      </w:pPr>
      <w:r>
        <w:rPr>
          <w:rFonts w:ascii="Times New Roman" w:hAnsi="Times New Roman"/>
        </w:rPr>
        <w:t>1. Zusammenfassung des Mandats</w:t>
      </w:r>
    </w:p>
    <w:p>
      <w:pPr>
        <w:jc w:val="left"/>
      </w:pPr>
      <w:r>
        <w:t>Mit Mandatserteilung vom 15. Januar 2026 wurde die Kanzlei Schwingenstein und Partner beauftragt, den NDA-Entwurf von Eickmann Wirtschaftspartner Pte. Ltd. zu prüfen, einen Gegenentwurf zu erstellen und die Verhandlungen in Singapur (17./18. Februar 2026) zu begleiten. Die NDA-Verhandlung ist abgeschlossen. NDA v7 wurde am 25. Februar 2026 von Dr. Norderhof, Dr. Eichenmuller und Frederick Eickmann unterzeichnet.</w:t>
      </w:r>
    </w:p>
    <w:p/>
    <w:p>
      <w:pPr>
        <w:pStyle w:val="Heading2"/>
      </w:pPr>
      <w:r>
        <w:rPr>
          <w:rFonts w:ascii="Times New Roman" w:hAnsi="Times New Roman"/>
        </w:rPr>
        <w:t>2. Erreichte Verhandlungsziele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Streichung Residual-Information-Klausel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Gerichtsstand DIS Hamburg, deutsches 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Exportkontrollklausel Iran / BAFA-Bedingung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Zustimmungsvorbehalt Konzernübertragung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erreicht (Whitelist-Modell)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Absenkung Vertragsstrafe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Erreicht (50K/120K statt 250K)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Gestufte Laufzeit statt 7-Jahres-Frist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Erreicht (3+2+2 mit Bedingungen)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Ausnahmetatbestände Vertraulichkeitsdefinition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GeschGehG-Maßnahmenpaket Annex 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Vereinbart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Abgegrenzter Non-Solicitation-Kreis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Annex A mit Schlüsselpositionen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Offene Punkte und Risiken</w:t>
      </w:r>
    </w:p>
    <w:p>
      <w:pPr>
        <w:pStyle w:val="Heading3"/>
      </w:pPr>
      <w:r>
        <w:rPr>
          <w:rFonts w:ascii="Times New Roman" w:hAnsi="Times New Roman"/>
        </w:rPr>
        <w:t>3.1 BAFA-Vorabauskunft (Az. 4022-26/Iran-WS-188)</w:t>
      </w:r>
    </w:p>
    <w:p>
      <w:pPr>
        <w:jc w:val="left"/>
      </w:pPr>
      <w:r>
        <w:t>Die BAFA-Vorabauskunft ist noch nicht eingegangen. Bis zu einem positiven Bescheid dürfen keine Iran-relevanten technischen Informationen ausgetauscht werden (§ 11 Abs. 2 NDA v7). Sollte die BAFA die Vorabauskunft versagen, entfällt der Iran-Projektteil des JV.</w:t>
      </w:r>
    </w:p>
    <w:p>
      <w:pPr>
        <w:jc w:val="left"/>
      </w:pPr>
      <w:r>
        <w:rPr>
          <w:b/>
        </w:rPr>
        <w:t>Empfehlung:</w:t>
      </w:r>
      <w:r>
        <w:t xml:space="preserve"> Kanzlei führt monatlichen Follow-up mit BAFA. Windsysteme soll keine Iran-relevanten Daten an Eickmann weitergeben bis zum BAFA-Bescheid.</w:t>
      </w:r>
    </w:p>
    <w:p>
      <w:pPr>
        <w:pStyle w:val="Heading3"/>
      </w:pPr>
      <w:r>
        <w:rPr>
          <w:rFonts w:ascii="Times New Roman" w:hAnsi="Times New Roman"/>
        </w:rPr>
        <w:t>3.2 Cybertrading-Bedenken / IT-Security-Bericht Eickmann</w:t>
      </w:r>
    </w:p>
    <w:p>
      <w:pPr>
        <w:jc w:val="left"/>
      </w:pPr>
      <w:r>
        <w:t>Der von Eickmann angeforderte IT-Security-Nachweis (ISO 27001 oder gleichwertig) liegt noch nicht vor. Frist: 28. Februar 2026.</w:t>
      </w:r>
    </w:p>
    <w:p>
      <w:pPr>
        <w:jc w:val="left"/>
      </w:pPr>
      <w:r>
        <w:rPr>
          <w:b/>
        </w:rPr>
        <w:t>Empfehlung:</w:t>
      </w:r>
      <w:r>
        <w:t xml:space="preserve"> Falls Eickmann bis 05. März 2026 keinen Nachweis vorlegt, sollte Windsysteme den Datenaustausch (auch NDA-geschützte Informationen) bis auf Weiteres aussetzen.</w:t>
      </w:r>
    </w:p>
    <w:p>
      <w:pPr>
        <w:pStyle w:val="Heading3"/>
      </w:pPr>
      <w:r>
        <w:rPr>
          <w:rFonts w:ascii="Times New Roman" w:hAnsi="Times New Roman"/>
        </w:rPr>
        <w:t>3.3 GeschGehG-Maßnahmenpaket intern</w:t>
      </w:r>
    </w:p>
    <w:p>
      <w:pPr>
        <w:jc w:val="left"/>
      </w:pPr>
      <w:r>
        <w:t>Windsystemes interne Compliance-Lücken (fehlende Mitarbeiter-NDAs, veraltete Geheimhaltungsrichtlinie, fehlende DLP) müssen vor dem Datenaustausch geschlossen werden.</w:t>
      </w:r>
    </w:p>
    <w:p>
      <w:pPr>
        <w:jc w:val="left"/>
      </w:pPr>
      <w:r>
        <w:rPr>
          <w:b/>
        </w:rPr>
        <w:t>Empfehlung:</w:t>
      </w:r>
      <w:r>
        <w:t xml:space="preserve"> Strikter Zeitplan gemäß Aktenstück 16 einhalten.</w:t>
      </w:r>
    </w:p>
    <w:p/>
    <w:p>
      <w:pPr>
        <w:pStyle w:val="Heading2"/>
      </w:pPr>
      <w:r>
        <w:rPr>
          <w:rFonts w:ascii="Times New Roman" w:hAnsi="Times New Roman"/>
        </w:rPr>
        <w:t>4. Empfehlungen für das JV-Hauptvertragsverfahren</w:t>
      </w:r>
    </w:p>
    <w:p>
      <w:pPr>
        <w:pStyle w:val="ListNumber"/>
      </w:pPr>
      <w:r>
        <w:rPr>
          <w:b/>
        </w:rPr>
        <w:t>BAFA-Vorabauskunft abwarten</w:t>
      </w:r>
      <w:r>
        <w:t xml:space="preserve"> — kein JV-Hauptvertragsabschluss vor positivem Bescheid.</w:t>
      </w:r>
    </w:p>
    <w:p>
      <w:pPr>
        <w:pStyle w:val="ListNumber"/>
      </w:pPr>
      <w:r>
        <w:rPr>
          <w:b/>
        </w:rPr>
        <w:t>IT-Security-Audit Eickmann</w:t>
      </w:r>
      <w:r>
        <w:t xml:space="preserve"> — ISO-27001-Zertifikat oder gleichwertiger Nachweis als Bedingung für Datenaustausch.</w:t>
      </w:r>
    </w:p>
    <w:p>
      <w:pPr>
        <w:pStyle w:val="ListNumber"/>
      </w:pPr>
      <w:r>
        <w:rPr>
          <w:b/>
        </w:rPr>
        <w:t>JV-Hauptvertrag:</w:t>
      </w:r>
      <w:r>
        <w:t xml:space="preserve"> Einbeziehung einer ausführlichen Cybersecurity-Klausel; Incident-Response-Protokoll; Audit-Rechte gegenüber JV-Partner.</w:t>
      </w:r>
    </w:p>
    <w:p>
      <w:pPr>
        <w:pStyle w:val="ListNumber"/>
      </w:pPr>
      <w:r>
        <w:rPr>
          <w:b/>
        </w:rPr>
        <w:t>Annex A/B/C NDA v7 aktualisieren:</w:t>
      </w:r>
      <w:r>
        <w:t xml:space="preserve"> Bei Änderungen in Eickmanns Konzernstruktur oder Schlüsselpersonalbestand.</w:t>
      </w:r>
    </w:p>
    <w:p>
      <w:pPr>
        <w:pStyle w:val="ListNumber"/>
      </w:pPr>
      <w:r>
        <w:rPr>
          <w:b/>
        </w:rPr>
        <w:t>Due Diligence Mehr Novin Energy Co.:</w:t>
      </w:r>
      <w:r>
        <w:t xml:space="preserve"> Vollständige Sanctions-Screening-Prüfung empfohlen.</w:t>
      </w:r>
    </w:p>
    <w:p/>
    <w:p>
      <w:pPr>
        <w:pStyle w:val="Heading2"/>
      </w:pPr>
      <w:r>
        <w:rPr>
          <w:rFonts w:ascii="Times New Roman" w:hAnsi="Times New Roman"/>
        </w:rPr>
        <w:t>5. Honorarabrechnung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62.5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420 EUR/h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26.250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Assoziierte Anwälte (2)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280 EUR/h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7.840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Reisekosten Singapur (2 Pers.)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Pauschale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6.200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Auslagen/Übersetzungen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Pauschale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Zwischensumme netto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42.090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USt. 19 %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7.997.10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Gesamtbetrag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50.087.10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Abzgl. Vorschuss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-15.000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35.087.10 EUR</w:t>
            </w:r>
          </w:p>
        </w:tc>
      </w:tr>
    </w:tbl>
    <w:p>
      <w:pPr>
        <w:jc w:val="left"/>
      </w:pPr>
      <w:r>
        <w:t>Zahlungsziel: 26. März 2026.</w:t>
      </w:r>
    </w:p>
    <w:p/>
    <w:p>
      <w:pPr>
        <w:pStyle w:val="Heading2"/>
      </w:pPr>
      <w:r>
        <w:rPr>
          <w:rFonts w:ascii="Times New Roman" w:hAnsi="Times New Roman"/>
        </w:rPr>
        <w:t>6. Schlussbemerkung</w:t>
      </w:r>
    </w:p>
    <w:p>
      <w:pPr>
        <w:jc w:val="left"/>
      </w:pPr>
      <w:r>
        <w:t>Das Verhandlungsergebnis NDA v7 entspricht in allen wesentlichen Punkten den Mandatsvorgaben von Windsysteme Norderhof AG. Die kritischen Risiken (Residual-Klausel, Gerichtsstand, Exportkontrolle, Konzernübertragung) wurden vollständig adressiert. Die Kanzlei steht für das weitere JV-Hauptvertragsverfahren und die laufende BAFA-Begleitung zur Verfügung.</w:t>
      </w:r>
    </w:p>
    <w:p>
      <w:pPr>
        <w:jc w:val="left"/>
      </w:pPr>
      <w:r>
        <w:t>Mit freundlichen Grüßen</w:t>
      </w:r>
    </w:p>
    <w:p>
      <w:pPr>
        <w:jc w:val="left"/>
      </w:pPr>
      <w:r>
        <w:t>RA Dr. Mark Roosendaal</w:t>
      </w:r>
    </w:p>
    <w:p>
      <w:pPr>
        <w:jc w:val="left"/>
      </w:pPr>
      <w:r>
        <w:t>Schwingenstein und Partner</w:t>
      </w:r>
    </w:p>
    <w:p>
      <w:pPr>
        <w:jc w:val="left"/>
      </w:pPr>
      <w:r>
        <w:t>Ballindamm 17, 20095 Hamburg</w:t>
      </w:r>
    </w:p>
    <w:p>
      <w:pPr>
        <w:jc w:val="left"/>
      </w:pPr>
      <w:r>
        <w:t>Tel. +49 40 3456 7890</w:t>
      </w:r>
    </w:p>
    <w:p>
      <w:pPr>
        <w:jc w:val="left"/>
      </w:pPr>
      <w:r>
        <w:t>m.roosendaal@schwingenstein-partner.de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CEO 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CEO 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