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Praktikabilität im Vollzug (Amtsgerichts-Test)</w:t>
      </w:r>
    </w:p>
    <w:p>
      <w:pPr>
        <w:pStyle w:val="Heading2"/>
      </w:pPr>
      <w:r>
        <w:rPr>
          <w:rFonts w:ascii="Times New Roman" w:hAnsi="Times New Roman"/>
        </w:rPr>
        <w:t>NKR-Prüfraster Vollzugstauglichkeit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Personell leistbar?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  <w:r>
              <w:rPr>
                <w:rFonts w:ascii="Times New Roman" w:hAnsi="Times New Roman"/>
                <w:sz w:val="20"/>
              </w:rPr>
              <w:t>. 117 Amtsgerichte müssen 21,3 Mio Lebensbescheide p.a. verarbeiten. Bei Vorlauf 50 Sekunden je Bescheid → 295.000 Personalstunden = ca. 180 Vollzeitstellen zusätzlich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Technisch implementierbar?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Ja, aber drei parallele Standards erschweren Verbund (siehe Aktenstück 11)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Rechtsprechungstauglich?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Streitanfaellig — Definition "funktionsfähiger Zustellungs-Kanal" wird Rechtsprechung beschäftigen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Schulungsbedarf?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Hoch. Schätzung 25 Stunden je RichterIn/RechtspflegerIn × 3.500 = 87.500 Stunden einmalig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Konkretes Vollzugs-Szenario AG Koeln (Beispiel)</w:t>
      </w:r>
    </w:p>
    <w:p>
      <w:pPr>
        <w:pStyle w:val="ListBullet"/>
      </w:pPr>
      <w:r>
        <w:t>87.000 im HR eingetragene Gesellschaften</w:t>
      </w:r>
    </w:p>
    <w:p>
      <w:pPr>
        <w:pStyle w:val="ListBullet"/>
      </w:pPr>
      <w:r>
        <w:t>1,04 Mio Lebensbescheide p.a. (87.000 × 12)</w:t>
      </w:r>
    </w:p>
    <w:p>
      <w:pPr>
        <w:pStyle w:val="ListBullet"/>
      </w:pPr>
      <w:r>
        <w:t>Personalbedarf: ca. 13 zusätzliche Vollzeitstellen</w:t>
      </w:r>
    </w:p>
    <w:p>
      <w:pPr>
        <w:pStyle w:val="ListBullet"/>
      </w:pPr>
      <w:r>
        <w:t>Streitfallaufkommen (Zwangsgeld-Beschwerden): ca. 1.500 p.a.</w:t>
      </w:r>
    </w:p>
    <w:p>
      <w:pPr>
        <w:pStyle w:val="Heading2"/>
      </w:pPr>
      <w:r>
        <w:rPr>
          <w:rFonts w:ascii="Times New Roman" w:hAnsi="Times New Roman"/>
        </w:rPr>
        <w:t>Stolperfallen im Vollzug</w:t>
      </w:r>
    </w:p>
    <w:p>
      <w:pPr>
        <w:pStyle w:val="ListNumber"/>
      </w:pPr>
      <w:r>
        <w:rPr>
          <w:b/>
        </w:rPr>
        <w:t>Lebensbescheid-Annahme</w:t>
      </w:r>
      <w:r>
        <w:t>: Was, wenn der Bescheid technisch eingeht, aber inhaltlich leer ist? Verfahrenstechnik nicht klar.</w:t>
      </w:r>
    </w:p>
    <w:p>
      <w:pPr>
        <w:pStyle w:val="ListNumber"/>
      </w:pPr>
      <w:r>
        <w:rPr>
          <w:b/>
        </w:rPr>
        <w:t>Wechselsituation</w:t>
      </w:r>
      <w:r>
        <w:t>: Gesellschaft wechselt Anbieter. Wie wird der Zustellungs-Kanal überbrückt? Entwurf schweigt.</w:t>
      </w:r>
    </w:p>
    <w:p>
      <w:pPr>
        <w:pStyle w:val="ListNumber"/>
      </w:pPr>
      <w:r>
        <w:rPr>
          <w:b/>
        </w:rPr>
        <w:t>Anbieter-Insolvenz</w:t>
      </w:r>
      <w:r>
        <w:t>: Mailbox-Anbieter geht in Insolvenz. Was passiert mit den eingehenden Zustellungen? Notfall-Konzept fehlt.</w:t>
      </w:r>
    </w:p>
    <w:p>
      <w:pPr>
        <w:pStyle w:val="ListNumber"/>
      </w:pPr>
      <w:r>
        <w:rPr>
          <w:b/>
        </w:rPr>
        <w:t>Auslandsbezug</w:t>
      </w:r>
      <w:r>
        <w:t>: Wer überprüft den "elektronisch erreichbaren Inlandsvertreter" bei ausländischen Gesellschaften?</w:t>
      </w:r>
    </w:p>
    <w:p>
      <w:pPr>
        <w:pStyle w:val="ListNumber"/>
      </w:pPr>
      <w:r>
        <w:rPr>
          <w:b/>
        </w:rPr>
        <w:t>Sanktions-Eskalation</w:t>
      </w:r>
      <w:r>
        <w:t>: Mahn-Reihenfolge bei mehrfachem Versäumnis ist nicht klar; Pruefung erschöpft sich in "Wiederholung".</w:t>
      </w:r>
    </w:p>
    <w:p>
      <w:pPr>
        <w:pStyle w:val="Heading2"/>
      </w:pPr>
      <w:r>
        <w:rPr>
          <w:rFonts w:ascii="Times New Roman" w:hAnsi="Times New Roman"/>
        </w:rPr>
        <w:t>NKR-Empfehlung</w:t>
      </w:r>
    </w:p>
    <w:p>
      <w:pPr>
        <w:ind w:left="567"/>
      </w:pPr>
      <w:r>
        <w:rPr>
          <w:i/>
        </w:rPr>
        <w:t>"Der NKR empfiehlt, vor Verabschiedung den Vollzugstauglichkeits-Test mit den Justizverwaltungen der Länder und mit den Handelsregistergerichten durchzuführen. Die im Entwurf vorgesehenen technischen Standards sollen auf Praxis-Tauglichkeit überprüft werden. Eine zentrale Lösung (Szenario B) würde die im Entwurf gesehenen Vollzugsschwierigkeiten weitgehend vermeiden."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Praktikabilität im Vollzug (Amtsgerichts-Test)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Praktikabilität im Vollzug (Amtsgerichts-Test)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