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EU-Ebene: eIDAS-VO und Brüssel-Ia-VO</w:t>
      </w:r>
    </w:p>
    <w:p>
      <w:pPr>
        <w:pStyle w:val="Heading2"/>
      </w:pPr>
      <w:r>
        <w:rPr>
          <w:rFonts w:ascii="Times New Roman" w:hAnsi="Times New Roman"/>
        </w:rPr>
        <w:t>eIDAS-VO 910/2014 und 2024-Reform</w:t>
      </w:r>
    </w:p>
    <w:p>
      <w:pPr>
        <w:pStyle w:val="ListBullet"/>
      </w:pPr>
      <w:r>
        <w:t>Art. 25 eIDAS: qualifizierte elektronische Zustellung</w:t>
      </w:r>
    </w:p>
    <w:p>
      <w:pPr>
        <w:pStyle w:val="ListBullet"/>
      </w:pPr>
      <w:r>
        <w:t>2024-Reform: EUDI-Wallet (European Digital Identity Wallet) wird Bestandteil aller Mitgliedstaaten; ab 2026 müssen alle Mitgliedstaaten die Wallet anbieten</w:t>
      </w:r>
    </w:p>
    <w:p>
      <w:pPr>
        <w:pStyle w:val="ListBullet"/>
      </w:pPr>
      <w:r>
        <w:t>Der ElErrHandRegG-Entwurf nennt eIDAS nur über Klammerbezug — keine systematische Integration</w:t>
      </w:r>
    </w:p>
    <w:p>
      <w:pPr>
        <w:pStyle w:val="Heading2"/>
      </w:pPr>
      <w:r>
        <w:rPr>
          <w:rFonts w:ascii="Times New Roman" w:hAnsi="Times New Roman"/>
        </w:rPr>
        <w:t>Brüssel-Ia-VO 1215/2012</w:t>
      </w:r>
    </w:p>
    <w:p>
      <w:pPr>
        <w:pStyle w:val="ListBullet"/>
      </w:pPr>
      <w:r>
        <w:t>Art. 64 ff. Brüssel-Ia-VO: gerichtliche Zustellung innerhalb der EU</w:t>
      </w:r>
    </w:p>
    <w:p>
      <w:pPr>
        <w:pStyle w:val="ListBullet"/>
      </w:pPr>
      <w:r>
        <w:t>Bei deutschen Gesellschaften mit Sitz in anderem EU-Mitgliedstaat: Zustellung über EU-Vorschriften, nicht über ElErrHandRegG-Inlandsvertreter</w:t>
      </w:r>
    </w:p>
    <w:p>
      <w:pPr>
        <w:jc w:val="left"/>
      </w:pPr>
      <w:r>
        <w:rPr>
          <w:b/>
        </w:rPr>
        <w:t>Konflikt:</w:t>
      </w:r>
      <w:r>
        <w:t xml:space="preserve"> Der Entwurf scheint zu suggerieren, dass auch für EU-Niederlassungen ein Inlandsvertreter zu benennen ist. Das </w:t>
      </w:r>
      <w:r>
        <w:rPr>
          <w:b/>
        </w:rPr>
        <w:t>kollidiert mit der Brüssel-Ia-Logik</w:t>
      </w:r>
      <w:r>
        <w:t>, die Zustellungen innerhalb der EU direkt vorsieht.</w:t>
      </w:r>
    </w:p>
    <w:p>
      <w:pPr>
        <w:pStyle w:val="Heading2"/>
      </w:pPr>
      <w:r>
        <w:rPr>
          <w:rFonts w:ascii="Times New Roman" w:hAnsi="Times New Roman"/>
        </w:rPr>
        <w:t>EuGH-Linie zu Niederlassungsfreiheit</w:t>
      </w:r>
    </w:p>
    <w:p>
      <w:pPr>
        <w:jc w:val="left"/>
      </w:pPr>
      <w:r>
        <w:t>EuGH beständige Rechtsprechung (Centros, Cartesio, Polbud) zur Niederlassungsfreiheit Art. 49 AEUV: Mitgliedstaaten dürfen keine zusätzlichen Buerokratiehuerden für EU-Gesellschaften aufstellen, die der nationalen Gleichstellung widersprechen.</w:t>
      </w:r>
    </w:p>
    <w:p>
      <w:pPr>
        <w:jc w:val="left"/>
      </w:pPr>
      <w:r>
        <w:rPr>
          <w:b/>
        </w:rPr>
        <w:t>Risiko:</w:t>
      </w:r>
      <w:r>
        <w:t xml:space="preserve"> Der Inlandsvertreter-Zwang für EU-Niederlassungen könnte als unzulässige Beschränkung der Niederlassungsfreiheit qualifiziert werden — Verfahren vor EuGH nicht ausgeschlossen.</w:t>
      </w:r>
    </w:p>
    <w:p>
      <w:pPr>
        <w:pStyle w:val="Heading2"/>
      </w:pPr>
      <w:r>
        <w:rPr>
          <w:rFonts w:ascii="Times New Roman" w:hAnsi="Times New Roman"/>
        </w:rPr>
        <w:t>NKR-Empfehlung</w:t>
      </w:r>
    </w:p>
    <w:p>
      <w:pPr>
        <w:ind w:left="567"/>
      </w:pPr>
      <w:r>
        <w:rPr>
          <w:i/>
        </w:rPr>
        <w:t>"Das Vorhaben sollte hinsichtlich der eIDAS-VO (insbesondere EUDI-Wallet ab 2026), der Brüssel-Ia-VO und der Niederlassungsfreiheit auf EU-Konformitaet überprüft werden. Insbesondere die Regelungen zum Inlandsvertreter für EU-Gesellschaften sind kritisch zu prüfen."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Art. 64 ff. Brüssel-Ia-VO: gerichtliche Zustellung innerhalb der EU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Art. 64 ff. Brüssel-Ia-VO: gerichtliche Zustellung innerhalb der EU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VO 910/2014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