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Lärmschutzgutachten Stadtbahn — Schalltechnische Untersuchung und Abwägungsfehler</w:t>
      </w:r>
    </w:p>
    <w:p>
      <w:pPr>
        <w:jc w:val="left"/>
      </w:pPr>
      <w:r>
        <w:t>Gutachten: Schalltechnische Untersuchung B-Plan XV-43d „Spreepark Friedrichshain"</w:t>
      </w:r>
    </w:p>
    <w:p>
      <w:pPr>
        <w:jc w:val="left"/>
      </w:pPr>
      <w:r>
        <w:t>Ersteller: Akustik-Consult Berlin GmbH (Dipl.-Ing. Franz Stechmann-Voigt)</w:t>
      </w:r>
    </w:p>
    <w:p>
      <w:pPr>
        <w:jc w:val="left"/>
      </w:pPr>
      <w:r>
        <w:t>Datum: Oktober 2024 · Auftraggeber: Bezirksamt Friedrichshain-Kreuzberg</w:t>
      </w:r>
    </w:p>
    <w:p/>
    <w:p>
      <w:pPr>
        <w:pStyle w:val="Heading2"/>
      </w:pPr>
      <w:r>
        <w:rPr>
          <w:rFonts w:ascii="Times New Roman" w:hAnsi="Times New Roman"/>
        </w:rPr>
        <w:t>1. Rechtlicher Rahmen</w:t>
      </w:r>
    </w:p>
    <w:p>
      <w:pPr>
        <w:pStyle w:val="Heading3"/>
      </w:pPr>
      <w:r>
        <w:rPr>
          <w:rFonts w:ascii="Times New Roman" w:hAnsi="Times New Roman"/>
        </w:rPr>
        <w:t>Lärmschutz in der Bauleitplanung</w:t>
      </w:r>
    </w:p>
    <w:p>
      <w:pPr>
        <w:jc w:val="left"/>
      </w:pPr>
      <w:r>
        <w:t>Bei der Aufstellung von Bebauungsplänen ist Lärm als Belang nach § 1 Abs. 6 Nr. 1 BauGB (Wohnbedürfnisse) und Nr. 7c (Wohnruhe) zu berücksichtigen. Die Orientierungswerte der DIN 18005-1 (Schallschutz im Städtebau) sind nicht rechtsverbindlich, aber als Abwägungsmaterial heranzuziehen. Nach ständiger Rechtsprechung des BVerwG ist eine Überschreitung der DIN 18005-Werte zwar möglich, aber besonders zu rechtfertigen (BVerwG, Urt. v. 22.03.2007 — 4 CN 2.06, BVerwGE 128, 238).</w:t>
      </w:r>
    </w:p>
    <w:p>
      <w:pPr>
        <w:jc w:val="left"/>
      </w:pPr>
      <w:r>
        <w:t>Orientierungswerte DIN 18005-1 für Allgemeines Wohngebiet (WA):</w:t>
      </w:r>
    </w:p>
    <w:p>
      <w:pPr>
        <w:pStyle w:val="ListBullet"/>
      </w:pPr>
      <w:r>
        <w:t>Tags: 55 dB(A)</w:t>
      </w:r>
    </w:p>
    <w:p>
      <w:pPr>
        <w:pStyle w:val="ListBullet"/>
      </w:pPr>
      <w:r>
        <w:t>Nachts: 45 dB(A)</w:t>
      </w:r>
    </w:p>
    <w:p/>
    <w:p>
      <w:pPr>
        <w:pStyle w:val="Heading2"/>
      </w:pPr>
      <w:r>
        <w:rPr>
          <w:rFonts w:ascii="Times New Roman" w:hAnsi="Times New Roman"/>
        </w:rPr>
        <w:t>2. Ergebnisse des Gutachtens (Akustik-Consult, Oktober 2024)</w:t>
      </w:r>
    </w:p>
    <w:p>
      <w:pPr>
        <w:pStyle w:val="Heading3"/>
      </w:pPr>
      <w:r>
        <w:rPr>
          <w:rFonts w:ascii="Times New Roman" w:hAnsi="Times New Roman"/>
        </w:rPr>
        <w:t>Emissionsquellen</w:t>
      </w:r>
    </w:p>
    <w:p>
      <w:pPr>
        <w:pStyle w:val="ListBullet"/>
      </w:pPr>
      <w:r>
        <w:t>S-Bahn-Trasse (S3, S5, S7, S9): ca. 280 Züge/Tag; Streckengeschwindigkeit 60 km/h; Schienenweg mit Betonoberbau.</w:t>
      </w:r>
    </w:p>
    <w:p>
      <w:pPr>
        <w:pStyle w:val="ListBullet"/>
      </w:pPr>
      <w:r>
        <w:t>Straßenlärm Warnitzer Straße: LKW-Anteil 8 %, Geschwindigkeit 30 km/h.</w:t>
      </w:r>
    </w:p>
    <w:p>
      <w:pPr>
        <w:pStyle w:val="Heading3"/>
      </w:pPr>
      <w:r>
        <w:rPr>
          <w:rFonts w:ascii="Times New Roman" w:hAnsi="Times New Roman"/>
        </w:rPr>
        <w:t>Berechnungsergebnisse (Beurteilungspegel)</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Fassade</w:t>
            </w:r>
          </w:p>
        </w:tc>
        <w:tc>
          <w:tcPr>
            <w:tcW w:type="dxa" w:w="1512"/>
          </w:tcPr>
          <w:p>
            <w:r>
              <w:rPr>
                <w:rFonts w:ascii="Times New Roman" w:hAnsi="Times New Roman"/>
                <w:b/>
                <w:sz w:val="20"/>
              </w:rPr>
              <w:t>Geschoss</w:t>
            </w:r>
          </w:p>
        </w:tc>
        <w:tc>
          <w:tcPr>
            <w:tcW w:type="dxa" w:w="1512"/>
          </w:tcPr>
          <w:p>
            <w:r>
              <w:rPr>
                <w:rFonts w:ascii="Times New Roman" w:hAnsi="Times New Roman"/>
                <w:b/>
                <w:sz w:val="20"/>
              </w:rPr>
              <w:t>Tags dB(A)</w:t>
            </w:r>
          </w:p>
        </w:tc>
        <w:tc>
          <w:tcPr>
            <w:tcW w:type="dxa" w:w="1512"/>
          </w:tcPr>
          <w:p>
            <w:r>
              <w:rPr>
                <w:rFonts w:ascii="Times New Roman" w:hAnsi="Times New Roman"/>
                <w:b/>
                <w:sz w:val="20"/>
              </w:rPr>
              <w:t>Nachts dB(A)</w:t>
            </w:r>
          </w:p>
        </w:tc>
        <w:tc>
          <w:tcPr>
            <w:tcW w:type="dxa" w:w="1512"/>
          </w:tcPr>
          <w:p>
            <w:r>
              <w:rPr>
                <w:rFonts w:ascii="Times New Roman" w:hAnsi="Times New Roman"/>
                <w:b/>
                <w:sz w:val="20"/>
              </w:rPr>
              <w:t>DIN 18005 Tagwert</w:t>
            </w:r>
          </w:p>
        </w:tc>
        <w:tc>
          <w:tcPr>
            <w:tcW w:type="dxa" w:w="1512"/>
          </w:tcPr>
          <w:p>
            <w:r>
              <w:rPr>
                <w:rFonts w:ascii="Times New Roman" w:hAnsi="Times New Roman"/>
                <w:b/>
                <w:sz w:val="20"/>
              </w:rPr>
              <w:t>Überschreitung</w:t>
            </w:r>
          </w:p>
        </w:tc>
      </w:tr>
      <w:tr>
        <w:tc>
          <w:tcPr>
            <w:tcW w:type="dxa" w:w="1512"/>
          </w:tcPr>
          <w:p>
            <w:r>
              <w:rPr>
                <w:rFonts w:ascii="Times New Roman" w:hAnsi="Times New Roman"/>
                <w:sz w:val="20"/>
              </w:rPr>
              <w:t>Ostfassade (S-Bahn)</w:t>
            </w:r>
          </w:p>
        </w:tc>
        <w:tc>
          <w:tcPr>
            <w:tcW w:type="dxa" w:w="1512"/>
          </w:tcPr>
          <w:p>
            <w:r>
              <w:rPr>
                <w:rFonts w:ascii="Times New Roman" w:hAnsi="Times New Roman"/>
                <w:sz w:val="20"/>
              </w:rPr>
              <w:t>1–4</w:t>
            </w:r>
          </w:p>
        </w:tc>
        <w:tc>
          <w:tcPr>
            <w:tcW w:type="dxa" w:w="1512"/>
          </w:tcPr>
          <w:p>
            <w:r>
              <w:rPr>
                <w:rFonts w:ascii="Times New Roman" w:hAnsi="Times New Roman"/>
                <w:sz w:val="20"/>
              </w:rPr>
              <w:t>67</w:t>
            </w:r>
          </w:p>
        </w:tc>
        <w:tc>
          <w:tcPr>
            <w:tcW w:type="dxa" w:w="1512"/>
          </w:tcPr>
          <w:p>
            <w:r>
              <w:rPr>
                <w:rFonts w:ascii="Times New Roman" w:hAnsi="Times New Roman"/>
                <w:sz w:val="20"/>
              </w:rPr>
              <w:t>59</w:t>
            </w:r>
          </w:p>
        </w:tc>
        <w:tc>
          <w:tcPr>
            <w:tcW w:type="dxa" w:w="1512"/>
          </w:tcPr>
          <w:p>
            <w:r>
              <w:rPr>
                <w:rFonts w:ascii="Times New Roman" w:hAnsi="Times New Roman"/>
                <w:sz w:val="20"/>
              </w:rPr>
              <w:t>55</w:t>
            </w:r>
          </w:p>
        </w:tc>
        <w:tc>
          <w:tcPr>
            <w:tcW w:type="dxa" w:w="1512"/>
          </w:tcPr>
          <w:p>
            <w:r>
              <w:rPr>
                <w:rFonts w:ascii="Times New Roman" w:hAnsi="Times New Roman"/>
                <w:sz w:val="20"/>
              </w:rPr>
              <w:t>+12/+14</w:t>
            </w:r>
          </w:p>
        </w:tc>
      </w:tr>
      <w:tr>
        <w:tc>
          <w:tcPr>
            <w:tcW w:type="dxa" w:w="1512"/>
          </w:tcPr>
          <w:p>
            <w:r>
              <w:rPr>
                <w:rFonts w:ascii="Times New Roman" w:hAnsi="Times New Roman"/>
                <w:sz w:val="20"/>
              </w:rPr>
              <w:t>Ostfassade</w:t>
            </w:r>
          </w:p>
        </w:tc>
        <w:tc>
          <w:tcPr>
            <w:tcW w:type="dxa" w:w="1512"/>
          </w:tcPr>
          <w:p>
            <w:r>
              <w:rPr>
                <w:rFonts w:ascii="Times New Roman" w:hAnsi="Times New Roman"/>
                <w:sz w:val="20"/>
              </w:rPr>
              <w:t>5–8</w:t>
            </w:r>
          </w:p>
        </w:tc>
        <w:tc>
          <w:tcPr>
            <w:tcW w:type="dxa" w:w="1512"/>
          </w:tcPr>
          <w:p>
            <w:r>
              <w:rPr>
                <w:rFonts w:ascii="Times New Roman" w:hAnsi="Times New Roman"/>
                <w:sz w:val="20"/>
              </w:rPr>
              <w:t>71</w:t>
            </w:r>
          </w:p>
        </w:tc>
        <w:tc>
          <w:tcPr>
            <w:tcW w:type="dxa" w:w="1512"/>
          </w:tcPr>
          <w:p>
            <w:r>
              <w:rPr>
                <w:rFonts w:ascii="Times New Roman" w:hAnsi="Times New Roman"/>
                <w:sz w:val="20"/>
              </w:rPr>
              <w:t>63</w:t>
            </w:r>
          </w:p>
        </w:tc>
        <w:tc>
          <w:tcPr>
            <w:tcW w:type="dxa" w:w="1512"/>
          </w:tcPr>
          <w:p>
            <w:r>
              <w:rPr>
                <w:rFonts w:ascii="Times New Roman" w:hAnsi="Times New Roman"/>
                <w:sz w:val="20"/>
              </w:rPr>
              <w:t>55</w:t>
            </w:r>
          </w:p>
        </w:tc>
        <w:tc>
          <w:tcPr>
            <w:tcW w:type="dxa" w:w="1512"/>
          </w:tcPr>
          <w:p>
            <w:r>
              <w:rPr>
                <w:rFonts w:ascii="Times New Roman" w:hAnsi="Times New Roman"/>
                <w:sz w:val="20"/>
              </w:rPr>
              <w:t>+16/+18</w:t>
            </w:r>
          </w:p>
        </w:tc>
      </w:tr>
      <w:tr>
        <w:tc>
          <w:tcPr>
            <w:tcW w:type="dxa" w:w="1512"/>
          </w:tcPr>
          <w:p>
            <w:r>
              <w:rPr>
                <w:rFonts w:ascii="Times New Roman" w:hAnsi="Times New Roman"/>
                <w:sz w:val="20"/>
              </w:rPr>
              <w:t>Westfassade (Hof)</w:t>
            </w:r>
          </w:p>
        </w:tc>
        <w:tc>
          <w:tcPr>
            <w:tcW w:type="dxa" w:w="1512"/>
          </w:tcPr>
          <w:p>
            <w:r>
              <w:rPr>
                <w:rFonts w:ascii="Times New Roman" w:hAnsi="Times New Roman"/>
                <w:sz w:val="20"/>
              </w:rPr>
              <w:t>1–8</w:t>
            </w:r>
          </w:p>
        </w:tc>
        <w:tc>
          <w:tcPr>
            <w:tcW w:type="dxa" w:w="1512"/>
          </w:tcPr>
          <w:p>
            <w:r>
              <w:rPr>
                <w:rFonts w:ascii="Times New Roman" w:hAnsi="Times New Roman"/>
                <w:sz w:val="20"/>
              </w:rPr>
              <w:t>52</w:t>
            </w:r>
          </w:p>
        </w:tc>
        <w:tc>
          <w:tcPr>
            <w:tcW w:type="dxa" w:w="1512"/>
          </w:tcPr>
          <w:p>
            <w:r>
              <w:rPr>
                <w:rFonts w:ascii="Times New Roman" w:hAnsi="Times New Roman"/>
                <w:sz w:val="20"/>
              </w:rPr>
              <w:t>44</w:t>
            </w:r>
          </w:p>
        </w:tc>
        <w:tc>
          <w:tcPr>
            <w:tcW w:type="dxa" w:w="1512"/>
          </w:tcPr>
          <w:p>
            <w:r>
              <w:rPr>
                <w:rFonts w:ascii="Times New Roman" w:hAnsi="Times New Roman"/>
                <w:sz w:val="20"/>
              </w:rPr>
              <w:t>55</w:t>
            </w:r>
          </w:p>
        </w:tc>
        <w:tc>
          <w:tcPr>
            <w:tcW w:type="dxa" w:w="1512"/>
          </w:tcPr>
          <w:p>
            <w:r>
              <w:rPr>
                <w:rFonts w:ascii="Times New Roman" w:hAnsi="Times New Roman"/>
                <w:sz w:val="20"/>
              </w:rPr>
              <w:t>Unterschreitung</w:t>
            </w:r>
          </w:p>
        </w:tc>
      </w:tr>
      <w:tr>
        <w:tc>
          <w:tcPr>
            <w:tcW w:type="dxa" w:w="1512"/>
          </w:tcPr>
          <w:p>
            <w:r>
              <w:rPr>
                <w:rFonts w:ascii="Times New Roman" w:hAnsi="Times New Roman"/>
                <w:sz w:val="20"/>
              </w:rPr>
              <w:t>Nordfassade (Straße)</w:t>
            </w:r>
          </w:p>
        </w:tc>
        <w:tc>
          <w:tcPr>
            <w:tcW w:type="dxa" w:w="1512"/>
          </w:tcPr>
          <w:p>
            <w:r>
              <w:rPr>
                <w:rFonts w:ascii="Times New Roman" w:hAnsi="Times New Roman"/>
                <w:sz w:val="20"/>
              </w:rPr>
              <w:t>1–8</w:t>
            </w:r>
          </w:p>
        </w:tc>
        <w:tc>
          <w:tcPr>
            <w:tcW w:type="dxa" w:w="1512"/>
          </w:tcPr>
          <w:p>
            <w:r>
              <w:rPr>
                <w:rFonts w:ascii="Times New Roman" w:hAnsi="Times New Roman"/>
                <w:sz w:val="20"/>
              </w:rPr>
              <w:t>58</w:t>
            </w:r>
          </w:p>
        </w:tc>
        <w:tc>
          <w:tcPr>
            <w:tcW w:type="dxa" w:w="1512"/>
          </w:tcPr>
          <w:p>
            <w:r>
              <w:rPr>
                <w:rFonts w:ascii="Times New Roman" w:hAnsi="Times New Roman"/>
                <w:sz w:val="20"/>
              </w:rPr>
              <w:t>48</w:t>
            </w:r>
          </w:p>
        </w:tc>
        <w:tc>
          <w:tcPr>
            <w:tcW w:type="dxa" w:w="1512"/>
          </w:tcPr>
          <w:p>
            <w:r>
              <w:rPr>
                <w:rFonts w:ascii="Times New Roman" w:hAnsi="Times New Roman"/>
                <w:sz w:val="20"/>
              </w:rPr>
              <w:t>55</w:t>
            </w:r>
          </w:p>
        </w:tc>
        <w:tc>
          <w:tcPr>
            <w:tcW w:type="dxa" w:w="1512"/>
          </w:tcPr>
          <w:p>
            <w:r>
              <w:rPr>
                <w:rFonts w:ascii="Times New Roman" w:hAnsi="Times New Roman"/>
                <w:sz w:val="20"/>
              </w:rPr>
              <w:t>+3/+3</w:t>
            </w:r>
          </w:p>
        </w:tc>
      </w:tr>
    </w:tbl>
    <w:p>
      <w:pPr>
        <w:pStyle w:val="Heading3"/>
      </w:pPr>
      <w:r>
        <w:rPr>
          <w:rFonts w:ascii="Times New Roman" w:hAnsi="Times New Roman"/>
        </w:rPr>
        <w:t>Schlussfolgerung des Gutachtens</w:t>
      </w:r>
    </w:p>
    <w:p>
      <w:pPr>
        <w:jc w:val="left"/>
      </w:pPr>
      <w:r>
        <w:t>Die erheblichen Überschreitungen an der Ostfassade werden durch die Festsetzung H-3 (passiver Schallschutz, Schallschutzklasse 3, Rw mind. 35 dB) als „ausreichend bewältigt" eingestuft. Grundrisstypologie: Schlaf- und Kinderzimmer sind auf der lärmabgewandten Westseite anzuordnen.</w:t>
      </w:r>
    </w:p>
    <w:p/>
    <w:p>
      <w:pPr>
        <w:pStyle w:val="Heading2"/>
      </w:pPr>
      <w:r>
        <w:rPr>
          <w:rFonts w:ascii="Times New Roman" w:hAnsi="Times New Roman"/>
        </w:rPr>
        <w:t>3. Methodische Fehler (Analyse Kanzlei / Gegengutachten)</w:t>
      </w:r>
    </w:p>
    <w:p>
      <w:pPr>
        <w:pStyle w:val="Heading3"/>
      </w:pPr>
      <w:r>
        <w:rPr>
          <w:rFonts w:ascii="Times New Roman" w:hAnsi="Times New Roman"/>
        </w:rPr>
        <w:t>Fehler 1 — Veralteter Prognosezeitraum</w:t>
      </w:r>
    </w:p>
    <w:p>
      <w:pPr>
        <w:jc w:val="left"/>
      </w:pPr>
      <w:r>
        <w:t>Das Gutachten basiert auf Zuglaufzahlen 2023 (Fahrplanperiode). Für den Prognosezeitraum 2030 (Ende der baulichen Nutzung) ist gemäß Schall 03 (Richtlinie zur Berechnung der Schallimmissionen von Eisenbahnen, 2014) eine Prognoselösung (i.d.R. +20 % Züge für das Jahr 2030) anzusetzen. Das Gutachten hat keinen Prognosezuschlag eingerechnet; hierdurch werden die Nachtpegel um schätzungsweise 0,8–1,2 dB(A) unterschätzt.</w:t>
      </w:r>
    </w:p>
    <w:p>
      <w:pPr>
        <w:pStyle w:val="Heading3"/>
      </w:pPr>
      <w:r>
        <w:rPr>
          <w:rFonts w:ascii="Times New Roman" w:hAnsi="Times New Roman"/>
        </w:rPr>
        <w:t>Fehler 2 — Grundgeräuschpegel S-Bahn nicht gesondert ermittelt</w:t>
      </w:r>
    </w:p>
    <w:p>
      <w:pPr>
        <w:jc w:val="left"/>
      </w:pPr>
      <w:r>
        <w:t>Das Gutachten verwendet den Standardwert aus Schall 03 für Betonoberbau ohne Messung des tatsächlichen Schienenzustands. Die S-Bahn-Trasse im Abschnitt Warschauer Straße — Ostkreuz weist bekannte Rillen und Schlupf-Verschleiß auf, der den tatsächlichen Emissionspegel um bis zu 3 dB(A) erhöhen kann (Ergebnis der Messung RAin Dr. Pohl-Krauss beauftragt durch Ing.-Büro Schalltech, Messung 04.02.2026; s. Anlage).</w:t>
      </w:r>
    </w:p>
    <w:p>
      <w:pPr>
        <w:pStyle w:val="Heading3"/>
      </w:pPr>
      <w:r>
        <w:rPr>
          <w:rFonts w:ascii="Times New Roman" w:hAnsi="Times New Roman"/>
        </w:rPr>
        <w:t>Fehler 3 — Nachtlärm nicht bewertet im Bereich Fenster auf Kipp</w:t>
      </w:r>
    </w:p>
    <w:p>
      <w:pPr>
        <w:jc w:val="left"/>
      </w:pPr>
      <w:r>
        <w:t>Der B-Plan und das Gutachten akzeptieren, dass lüftungsbedingte Nutzung (Fenster auf Kipp) bei den lärmzugewandten Fassaden mit Nachtpegeln bis 63 dB(A) entfällt. Ein Lüftungskonzept (maschinelle Lüftung) ist weder im B-Plan noch im städtebaulichen Vertrag geregelt. Das BVerwG hat entschieden, dass ein Bebauungsplan, der die lärmbedingte Unfähigkeit zur Fensterlüftung hinnimmt, ohne dies in der Abwägung zu berücksichtigen, fehlerhaft ist (BVerwG, Urt. v. 22.03.2007 — 4 CN 2.06).</w:t>
      </w:r>
    </w:p>
    <w:p>
      <w:pPr>
        <w:pStyle w:val="Heading3"/>
      </w:pPr>
      <w:r>
        <w:rPr>
          <w:rFonts w:ascii="Times New Roman" w:hAnsi="Times New Roman"/>
        </w:rPr>
        <w:t>Fehler 4 — Keine Betrachtung des Außenwohnbereichs</w:t>
      </w:r>
    </w:p>
    <w:p>
      <w:pPr>
        <w:jc w:val="left"/>
      </w:pPr>
      <w:r>
        <w:t>Terrassen und Balkone im Ostbereich (S-Bahn-Damm) unterliegen Nachtpegeln von 59–63 dB(A). Das Gutachten enthält keine Beurteilung der Außenwohnbereiche, obwohl das BVerwG (Urt. v. 16.03.2010 — 4 BN 66.09) verlangt, dass gesunde Wohnverhältnisse auch die Nutzbarkeit von Balkonen und Terrassen einschließen.</w:t>
      </w:r>
    </w:p>
    <w:p/>
    <w:p>
      <w:pPr>
        <w:pStyle w:val="Heading2"/>
      </w:pPr>
      <w:r>
        <w:rPr>
          <w:rFonts w:ascii="Times New Roman" w:hAnsi="Times New Roman"/>
        </w:rPr>
        <w:t>4. Konsequenz für die Abwägung</w:t>
      </w:r>
    </w:p>
    <w:p>
      <w:pPr>
        <w:jc w:val="left"/>
      </w:pPr>
      <w:r>
        <w:t>Das Bezirksamt hat die lärmbedingte Einschränkung der Wohnqualität (keine Fensterlüftung, keine Terrassennutzung) in der Abwägungsdokumentation auf S. 38–40 erwähnt, aber mit dem Argument abgetan, dass passiver Schallschutz dem Stand der Technik entspreche und in vergleichbaren Berliner Innenstadt-Situationen (z.B. B-Plan XIX-23 Lichtenberg) akzeptiert worden sei.</w:t>
      </w:r>
    </w:p>
    <w:p>
      <w:pPr>
        <w:jc w:val="left"/>
      </w:pPr>
      <w:r>
        <w:t>Dieses Argument übersieht, dass die Häufung von Abwägungsdefiziten (Artenschutz, Klimaanpassung, Soziales) zusammen mit dem Lärmschutz-Defizit ein Gesamtbild des Abwägungsausfalls erzeugt, das die Rechtfertigung durch Verweis auf vergleichbare Planungen nicht trägt.</w:t>
      </w:r>
    </w:p>
    <w:p/>
    <w:p>
      <w:pPr>
        <w:pStyle w:val="Heading2"/>
      </w:pPr>
      <w:r>
        <w:rPr>
          <w:rFonts w:ascii="Times New Roman" w:hAnsi="Times New Roman"/>
        </w:rPr>
        <w:t>5. Anforderungen an das Normenkontrollverfahren</w:t>
      </w:r>
    </w:p>
    <w:p>
      <w:pPr>
        <w:jc w:val="left"/>
      </w:pPr>
      <w:r>
        <w:t>Im Antrag wird beantragt, dass das OVG Berlin-Brandenburg ein gerichtliches Sachverständigengutachten zum Schallschutz (§ 98 VwGO i.V.m. §§ 402 ff. ZPO) einholt, hilfsweise die Kanzlei ein Gegengutachten des Ingenieurbüros Schalltech GmbH vorlegt.</w:t>
      </w:r>
    </w:p>
    <w:p>
      <w:pPr>
        <w:jc w:val="left"/>
      </w:pPr>
      <w:r>
        <w:t>Quellen: dejure.org (§ 1 BauGB); BVerwG, Urt. v. 22.03.2007 — 4 CN 2.06 (bundesverwaltungsgericht.de); DIN 18005-1 (Beuth Verlag, Normzitation).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Akustik-Consult Berlin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Akustik-Consult Berlin GmbH</w:t>
    </w:r>
  </w:p>
  <w:p>
    <w:pPr>
      <w:jc w:val="left"/>
      <w:pBdr>
        <w:bottom w:val="single" w:sz="6" w:space="2" w:color="1F3864"/>
      </w:pBdr>
    </w:pPr>
    <w:r>
      <w:rPr>
        <w:rFonts w:ascii="Times New Roman" w:hAnsi="Times New Roman"/>
        <w:color w:val="6B6B66"/>
        <w:sz w:val="16"/>
      </w:rPr>
      <w:t>Sachverständigenbüro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