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Verkehrsuntersuchung B-Plan XV-43d — Stellplätze, ÖPNV, Erschließung</w:t>
      </w:r>
    </w:p>
    <w:p>
      <w:pPr>
        <w:jc w:val="left"/>
      </w:pPr>
      <w:r>
        <w:t>Gutachten: Verkehrsuntersuchung zum B-Plan XV-43d „Spreepark Friedrichshain"</w:t>
      </w:r>
    </w:p>
    <w:p>
      <w:pPr>
        <w:jc w:val="left"/>
      </w:pPr>
      <w:r>
        <w:t>Ersteller: Stadtverkehr Plan GmbH (Dipl.-Ing. Thomas Groß-Behringer)</w:t>
      </w:r>
    </w:p>
    <w:p>
      <w:pPr>
        <w:jc w:val="left"/>
      </w:pPr>
      <w:r>
        <w:t>Datum: September 2024 · Auftraggeber: Bezirksamt Friedrichshain-Kreuzberg</w:t>
      </w:r>
    </w:p>
    <w:p/>
    <w:p>
      <w:pPr>
        <w:pStyle w:val="Heading2"/>
      </w:pPr>
      <w:r>
        <w:rPr>
          <w:rFonts w:ascii="Times New Roman" w:hAnsi="Times New Roman"/>
        </w:rPr>
        <w:t>1. Planungsgrundlagen</w:t>
      </w:r>
    </w:p>
    <w:p>
      <w:pPr>
        <w:pStyle w:val="Heading3"/>
      </w:pPr>
      <w:r>
        <w:rPr>
          <w:rFonts w:ascii="Times New Roman" w:hAnsi="Times New Roman"/>
        </w:rPr>
        <w:t>Nutzungsstruktur B-Plan XV-43d</w:t>
      </w:r>
    </w:p>
    <w:p>
      <w:pPr>
        <w:pStyle w:val="ListBullet"/>
      </w:pPr>
      <w:r>
        <w:t>420 Wohneinheiten (WE): durchschnittlich 82 m² Wohnfläche (variiert 52–125 m²)</w:t>
      </w:r>
    </w:p>
    <w:p>
      <w:pPr>
        <w:pStyle w:val="ListBullet"/>
      </w:pPr>
      <w:r>
        <w:t>Erdgeschoss: 1.800 m² Einzelhandel/Dienstleistung (nicht im B-Plan festgesetzt, aber städtebaulicher Vertrag)</w:t>
      </w:r>
    </w:p>
    <w:p>
      <w:pPr>
        <w:pStyle w:val="ListBullet"/>
      </w:pPr>
      <w:r>
        <w:t>Tiefgarage: 294 Stellplätze (Faktor 0,7 je WE)</w:t>
      </w:r>
    </w:p>
    <w:p>
      <w:pPr>
        <w:pStyle w:val="ListBullet"/>
      </w:pPr>
      <w:r>
        <w:t>Fahrradabstellplätze: 840 (Faktor 2,0 je WE)</w:t>
      </w:r>
    </w:p>
    <w:p/>
    <w:p>
      <w:pPr>
        <w:pStyle w:val="Heading2"/>
      </w:pPr>
      <w:r>
        <w:rPr>
          <w:rFonts w:ascii="Times New Roman" w:hAnsi="Times New Roman"/>
        </w:rPr>
        <w:t>2. Erschließungskonzept</w:t>
      </w:r>
    </w:p>
    <w:p>
      <w:pPr>
        <w:pStyle w:val="Heading3"/>
      </w:pPr>
      <w:r>
        <w:rPr>
          <w:rFonts w:ascii="Times New Roman" w:hAnsi="Times New Roman"/>
        </w:rPr>
        <w:t>Motorisierter Individualverkehr (MIV)</w:t>
      </w:r>
    </w:p>
    <w:p>
      <w:pPr>
        <w:jc w:val="left"/>
      </w:pPr>
      <w:r>
        <w:t>Einzige Zufahrt: Warnitzer Straße (L 1012) über neu anzulegende Erschließungsstraße „Spreeuferpfad" (7,5 m + 2 m Gehweg). Warnitzer Straße hat eine derzeitige Kapazität von rd. 9.200 Kfz/24h (Querschnittsbelastung Zählung 2023: 7.840 Kfz/24h, Auslastungsgrad 0,85).</w:t>
      </w:r>
    </w:p>
    <w:p>
      <w:pPr>
        <w:jc w:val="left"/>
      </w:pPr>
      <w:r>
        <w:t>Das Gutachten prognostiziert durch die 420 WE + Einzelhandel ein zusätzliches Verkehrsaufkommen von 1.020 Kfz/24h (420 WE × 2,1 Fahrten/WE/Tag + 300 EH-Fahrten). Nach Addition: 8.860 Kfz/24h = Auslastungsgrad 0,96 (nahe Kapazitätsgrenze).</w:t>
      </w:r>
    </w:p>
    <w:p>
      <w:pPr>
        <w:jc w:val="left"/>
      </w:pPr>
      <w:r>
        <w:t>Das Gutachten bewertet die Erschließung dennoch als „ausreichend", da Stauzeiten auf die Spitzenzeiten beschränkt und hinnehmbar seien.</w:t>
      </w:r>
    </w:p>
    <w:p>
      <w:pPr>
        <w:jc w:val="left"/>
      </w:pPr>
      <w:r>
        <w:rPr>
          <w:b/>
        </w:rPr>
        <w:t>Kritik Kanzlei</w:t>
      </w:r>
      <w:r>
        <w:t>: Der Prognosewert basiert auf einem Pkw-Besetzungsgrad von 1,3 und einem MIV-Anteil am Verkehrsmittelwahl von 31 % (Berliner Verkehrsmengenerhebung 2023). Im Bezirk Friedrichshain-Kreuzberg liegt der tatsächliche Pkw-Anteil bei ca. 23 %, jedoch ist für Fahrzeugneuanmeldungen infolge des 30 %-geförderten Wohnungsbaus (tendenziell einkommensärmere Haushalte) eine geringere Pkw-Quote anzunehmen; für Marktmiete (70 %) dürfte die Quote höher sein. Eine Differenzierung wurde im Gutachten nicht vorgenommen.</w:t>
      </w:r>
    </w:p>
    <w:p>
      <w:pPr>
        <w:pStyle w:val="Heading3"/>
      </w:pPr>
      <w:r>
        <w:rPr>
          <w:rFonts w:ascii="Times New Roman" w:hAnsi="Times New Roman"/>
        </w:rPr>
        <w:t>ÖPNV-Erschließung</w:t>
      </w:r>
    </w:p>
    <w:p>
      <w:pPr>
        <w:jc w:val="left"/>
      </w:pPr>
      <w:r>
        <w:t>Das Plangebiet liegt in ca. 450 m Fußweg von der S-Bahn-Station Ostkreuz (S3, S5, S7, S9) und in ca. 380 m von der U-Bahnhaltestelle Görlitzer Bahnhof (U1). Die ÖPNV-Anbindung ist nach Lagebewertung des Gutachtens „sehr gut" (Berliner Bewertungsmatrix Stufe 1).</w:t>
      </w:r>
    </w:p>
    <w:p>
      <w:pPr>
        <w:jc w:val="left"/>
      </w:pPr>
      <w:r>
        <w:rPr>
          <w:b/>
        </w:rPr>
        <w:t>Kritik</w:t>
      </w:r>
      <w:r>
        <w:t>: Die Kapazitätslage der U1-Linie ist nach BVG-Schreiben vom 11.04.2025 (St-06 der Auslegungsstellungnahmen) bereits kritisch. Das Gutachten enthält keine Prüfung, ob die ÖPNV-Kapazität tatsächlich eine weitere Nutzungsverdichtung an diesem Standort trägt. Das BVerwG hat für vergleichbare Fallgestaltungen entschieden, dass die reine Distanzermittlung zur ÖPNV-Haltestelle nicht genügt, wenn die Kapazitätsgrenze absehbar erreicht ist (BVerwG, Urt. v. 07.04.2011 — 4 C 12.10).</w:t>
      </w:r>
    </w:p>
    <w:p/>
    <w:p>
      <w:pPr>
        <w:pStyle w:val="Heading2"/>
      </w:pPr>
      <w:r>
        <w:rPr>
          <w:rFonts w:ascii="Times New Roman" w:hAnsi="Times New Roman"/>
        </w:rPr>
        <w:t>3. Stellplatzschlüssel — Rechtliche Einordnung</w:t>
      </w:r>
    </w:p>
    <w:p>
      <w:pPr>
        <w:jc w:val="left"/>
      </w:pPr>
      <w:r>
        <w:t>Der B-Plan setzt einen Stellplatzschlüssel von 0,7 WE fest. Dies liegt unterhalb der Berliner Richtwerte (§ 50 Abs. 1 BerlBO i.V.m. Ausführungsvorschriften zur BerlBO, AV Stellplätze: 1,0 Stellplatz je WE Richtwert für WA). Die Unterschreitung ist nach AV Stellplätze zulässig, wenn die ÖPNV-Qualität dies rechtfertigt (Kategorie A = sehr gute ÖPNV-Anbindung: Absenkung auf 0,5 möglich).</w:t>
      </w:r>
    </w:p>
    <w:p>
      <w:pPr>
        <w:jc w:val="left"/>
      </w:pPr>
      <w:r>
        <w:rPr>
          <w:b/>
        </w:rPr>
        <w:t>Rechtsstreit</w:t>
      </w:r>
      <w:r>
        <w:t>: Bauland Spreepark GmbH fordert (St-04 der Auslegungsstellungnahmen) eine Absenkung auf 0,5 (wirtschaftliche Erwägungen: weniger TG-Fläche = mehr Wohnfläche). Das Bezirksamt hat dies mit 0,7 abgelehnt. Eine Anpassung durch Bebauungsplan-Änderungsverfahren nach Satzungsbeschluss ist theoretisch möglich; der Investor hat dies als Bedingung für seinen Finanzierungsplan formuliert.</w:t>
      </w:r>
    </w:p>
    <w:p/>
    <w:p>
      <w:pPr>
        <w:pStyle w:val="Heading2"/>
      </w:pPr>
      <w:r>
        <w:rPr>
          <w:rFonts w:ascii="Times New Roman" w:hAnsi="Times New Roman"/>
        </w:rPr>
        <w:t>4. Fahrradinfrastruktur</w:t>
      </w:r>
    </w:p>
    <w:p>
      <w:pPr>
        <w:jc w:val="left"/>
      </w:pPr>
      <w:r>
        <w:t>840 Fahrradabstellplätze entsprechen dem Erfordernis (§ 50 Abs. 1 BerlBO). Das Gutachten enthält jedoch keinen Nachweis einer gesicherten Radwegeanbindung (Radroute 9, geplante Verlängerung nach 2027 noch nicht finanziert). Kinder-Schulweg zur nächsten Grundschule (ca. 800 m) führt über Warnitzer Straße ohne gesicherte Querung.</w:t>
      </w:r>
    </w:p>
    <w:p/>
    <w:p>
      <w:pPr>
        <w:pStyle w:val="Heading2"/>
      </w:pPr>
      <w:r>
        <w:rPr>
          <w:rFonts w:ascii="Times New Roman" w:hAnsi="Times New Roman"/>
        </w:rPr>
        <w:t>5. Gesamtbewertung</w:t>
      </w:r>
    </w:p>
    <w:p>
      <w:pPr>
        <w:jc w:val="left"/>
      </w:pPr>
      <w:r>
        <w:t>Das Verkehrsgutachten weist zwei wesentliche Defizite auf:</w:t>
      </w:r>
    </w:p>
    <w:p>
      <w:pPr>
        <w:pStyle w:val="ListNumber"/>
      </w:pPr>
      <w:r>
        <w:t>ÖPNV-Kapazitätsprüfung fehlt — reine Distanzermittlung genügt nicht.</w:t>
      </w:r>
    </w:p>
    <w:p>
      <w:pPr>
        <w:pStyle w:val="ListNumber"/>
      </w:pPr>
      <w:r>
        <w:t>Erschließungsstraße Warnitzer Straße funktioniert nur im Normalbetrieb; Leistungsfähigkeitsreserven sind minimal; keine Alternativerschließung untersucht.</w:t>
      </w:r>
    </w:p>
    <w:p>
      <w:pPr>
        <w:jc w:val="left"/>
      </w:pPr>
      <w:r>
        <w:t>Die Erschließungssicherung nach § 30 BauGB erfordert, dass das Plangebiet tatsächlich ausreichend erschlossen werden kann (§ 1 Abs. 3 BauGB, Erschließungssicherheit). Zweifel daran sind im Normenkontrollantrag zu benennen.</w:t>
      </w:r>
    </w:p>
    <w:p>
      <w:pPr>
        <w:jc w:val="left"/>
      </w:pPr>
      <w:r>
        <w:t>Quellen: dejure.org (§ 1 BauGB, § 30 BauGB); BVerwG, Urt. v. 07.04.2011 — 4 C 12.10 (bundesverwaltungsgericht.de); Berliner AV Stellplätze (SenStadtUm Berlin).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Stadtverkehr Plan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Stadtverkehr Plan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Sachverständigenbüro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