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 Abwägungsdokumentation Bezirksamt — Mängel und BVerwG-Maßstäbe</w:t>
      </w:r>
    </w:p>
    <w:p>
      <w:pPr>
        <w:jc w:val="left"/>
      </w:pPr>
      <w:r>
        <w:t>Grundlage: Abwägungsprotokoll Bezirksamt Friedrichshain-Kreuzberg</w:t>
      </w:r>
    </w:p>
    <w:p>
      <w:pPr>
        <w:jc w:val="left"/>
      </w:pPr>
      <w:r>
        <w:t>Datum: 03. März 2026 · Beschluss-Nr. BA-FK-2026/0089</w:t>
      </w:r>
    </w:p>
    <w:p>
      <w:pPr>
        <w:jc w:val="left"/>
      </w:pPr>
      <w:r>
        <w:t>Bearbeiter: Stadtentwicklungsamt, Referat Bebauungsplanung (Stadtplanungsrätin Sandra Völkel-Kruse)</w:t>
      </w:r>
    </w:p>
    <w:p/>
    <w:p>
      <w:pPr>
        <w:pStyle w:val="Heading2"/>
      </w:pPr>
      <w:r>
        <w:rPr>
          <w:rFonts w:ascii="Times New Roman" w:hAnsi="Times New Roman"/>
        </w:rPr>
        <w:t>1. Abwägungsmaßstab nach BVerwG</w:t>
      </w:r>
    </w:p>
    <w:p>
      <w:pPr>
        <w:jc w:val="left"/>
      </w:pPr>
      <w:r>
        <w:t>Das BVerwG hat in grundlegender Entscheidung (BVerwG, Urt. v. 05.07.1974 — IV C 50.72, BVerwGE 45, 309) die Abwägungsfehlerdogmatik entwickelt:</w:t>
      </w:r>
    </w:p>
    <w:p>
      <w:pPr>
        <w:jc w:val="left"/>
      </w:pPr>
      <w:r>
        <w:rPr>
          <w:b/>
        </w:rPr>
        <w:t>Abwägungsausfall</w:t>
      </w:r>
      <w:r>
        <w:t>: Die Gemeinde führt überhaupt keine Abwägung durch.</w:t>
      </w:r>
    </w:p>
    <w:p>
      <w:pPr>
        <w:jc w:val="left"/>
      </w:pPr>
      <w:r>
        <w:rPr>
          <w:b/>
        </w:rPr>
        <w:t>Abwägungsdefizit</w:t>
      </w:r>
      <w:r>
        <w:t>: Nicht alle abwägungserheblichen Belange wurden berücksichtigt.</w:t>
      </w:r>
    </w:p>
    <w:p>
      <w:pPr>
        <w:jc w:val="left"/>
      </w:pPr>
      <w:r>
        <w:rPr>
          <w:b/>
        </w:rPr>
        <w:t>Abwägungsfehlgewichtung</w:t>
      </w:r>
      <w:r>
        <w:t>: Belange wurden zwar gesehen, aber falsch gewichtet.</w:t>
      </w:r>
    </w:p>
    <w:p>
      <w:pPr>
        <w:jc w:val="left"/>
      </w:pPr>
      <w:r>
        <w:rPr>
          <w:b/>
        </w:rPr>
        <w:t>Abwägungsdisproportionalität</w:t>
      </w:r>
      <w:r>
        <w:t>: Das Abwägungsergebnis ist evident sachwidrig (BVerwG, Beschl. v. 22.09.2000 — 4 BN 43.00).</w:t>
      </w:r>
    </w:p>
    <w:p>
      <w:pPr>
        <w:jc w:val="left"/>
      </w:pPr>
      <w:r>
        <w:t>Nach § 214 Abs. 3 Satz 2 BauGB sind Mängel des Abwägungsvorgangs nur erheblich, wenn sie offensichtlich und auf das Abwägungsergebnis von Einfluss gewesen sind (Kausalitätserfordernis; BVerwG, Beschl. v. 29.01.1992 — 4 NB 22.90).</w:t>
      </w:r>
    </w:p>
    <w:p/>
    <w:p>
      <w:pPr>
        <w:pStyle w:val="Heading2"/>
      </w:pPr>
      <w:r>
        <w:rPr>
          <w:rFonts w:ascii="Times New Roman" w:hAnsi="Times New Roman"/>
        </w:rPr>
        <w:t>2. Abwägungsprotokoll — Struktur und Inhalt</w:t>
      </w:r>
    </w:p>
    <w:p>
      <w:pPr>
        <w:jc w:val="left"/>
      </w:pPr>
      <w:r>
        <w:t>Das Abwägungsprotokoll v. 03.03.2026 umfasst 112 Seiten. Es ist nach den 312 Stellungnahmen strukturiert und enthält je Stellungnahme: (a) Wiedergabe des Vorbringens, (b) Abwägungsvorschlag des Stadtentwicklungsamts, (c) Beschluss des Bezirksamts.</w:t>
      </w:r>
    </w:p>
    <w:p/>
    <w:p>
      <w:pPr>
        <w:pStyle w:val="Heading2"/>
      </w:pPr>
      <w:r>
        <w:rPr>
          <w:rFonts w:ascii="Times New Roman" w:hAnsi="Times New Roman"/>
        </w:rPr>
        <w:t>3. Analysierte Abwägungsfehler</w:t>
      </w:r>
    </w:p>
    <w:p>
      <w:pPr>
        <w:pStyle w:val="Heading3"/>
      </w:pPr>
      <w:r>
        <w:rPr>
          <w:rFonts w:ascii="Times New Roman" w:hAnsi="Times New Roman"/>
        </w:rPr>
        <w:t>Fehler A — Abwägungsdefizit Grünflächenversorgung (§ 1 Abs. 6 Nr. 3 BauGB)</w:t>
      </w:r>
    </w:p>
    <w:p>
      <w:pPr>
        <w:jc w:val="left"/>
      </w:pPr>
      <w:r>
        <w:t>Abwägungsprotokoll S. 38: „Der Verlust des Spreeuferparks ist durch den Volkspark Friedrichshain (52 ha, Entfernung 650 m) kompensiert." Eine Ermittlung der tatsächlichen Naherholungsversorgungsquote nach Berliner Freiflächenrichtwerten oder einer anerkannten Methode fehlt. Das Argument des Vorhandenseins des Volksparks ist nicht als ernsthafte Ermittlung zu werten: 650 m Fußweg ist für ältere Bewohner und Kleinkinder nicht als gleichwertig anzusehen (BVerwG, Beschl. v. 06.04.2000 — 4 BN 53.99 zur Eigenständigkeit von Naherholungsflächen).</w:t>
      </w:r>
    </w:p>
    <w:p>
      <w:pPr>
        <w:jc w:val="left"/>
      </w:pPr>
      <w:r>
        <w:rPr>
          <w:b/>
        </w:rPr>
        <w:t>Qualifikation</w:t>
      </w:r>
      <w:r>
        <w:t>: Abwägungsdefizit (§ 2 Abs. 3 BauGB nicht erfüllt); erheblich nach § 214 Abs. 3 BauGB (offensichtlich und auf Ergebnis von Einfluss: Bei korrekter Ermittlung hätte Freiflächenverlust womöglich zur Ablehnung des B-Plans geführt).</w:t>
      </w:r>
    </w:p>
    <w:p>
      <w:pPr>
        <w:pStyle w:val="Heading3"/>
      </w:pPr>
      <w:r>
        <w:rPr>
          <w:rFonts w:ascii="Times New Roman" w:hAnsi="Times New Roman"/>
        </w:rPr>
        <w:t>Fehler B — Abwägungsfehlgewichtung Artenschutz (§ 1 Abs. 6 Nr. 7a BauGB)</w:t>
      </w:r>
    </w:p>
    <w:p>
      <w:pPr>
        <w:jc w:val="left"/>
      </w:pPr>
      <w:r>
        <w:t>Abwägungsprotokoll S. 62: „Das Artenschutzgutachten ist ausreichend. CEF-Maßnahme sichert Kontinuität. BUND-Einwand zurückgewiesen." Keine inhaltliche Auseinandersetzung mit den methodischen Defiziten des Gutachtens (Begehungszahl, Kapazität Ersatzhabitat).</w:t>
      </w:r>
    </w:p>
    <w:p>
      <w:pPr>
        <w:jc w:val="left"/>
      </w:pPr>
      <w:r>
        <w:rPr>
          <w:b/>
        </w:rPr>
        <w:t>Qualifikation</w:t>
      </w:r>
      <w:r>
        <w:t>: Abwägungsfehlgewichtung; erheblich (BVerwG, Urt. v. 09.04.2008 — 4 CN 1.07 — fehlende fachliche Auseinandersetzung mit Gegengutachten).</w:t>
      </w:r>
    </w:p>
    <w:p>
      <w:pPr>
        <w:pStyle w:val="Heading3"/>
      </w:pPr>
      <w:r>
        <w:rPr>
          <w:rFonts w:ascii="Times New Roman" w:hAnsi="Times New Roman"/>
        </w:rPr>
        <w:t>Fehler C — Abwägungsdefizit Klimaanpassung (§ 1 Abs. 6 Nr. 7h BauGB)</w:t>
      </w:r>
    </w:p>
    <w:p>
      <w:pPr>
        <w:jc w:val="left"/>
      </w:pPr>
      <w:r>
        <w:t>Abwägungsprotokoll S. 73: „Klimaanpassung durch Dachbegrünung (Festsetzung H-1) und Anpflanzgebot berücksichtigt. Stellungnahme SenMVKU als nicht beachtlich eingestuft, da keine normativen Vorgaben für Kaltluftschneisen in der Bauleitplanung bestehen."</w:t>
      </w:r>
    </w:p>
    <w:p>
      <w:pPr>
        <w:jc w:val="left"/>
      </w:pPr>
      <w:r>
        <w:t>Das Argument, fehlende normative Vorgaben schließen die Abwägungsrelevanz aus, ist rechtlich unzutreffend. § 1 Abs. 6 Nr. 7h BauGB zählt die Klimaanpassung explizit als abwägungserheblichen Belang. Das Fehlen einer Rechtsverordnung über Richtwerte schließt die Abwägungspflicht nicht aus (BVerwG, Urt. v. 19.09.2002 — 4 CN 1.02, BVerwGE 117, 58 zu Klimabelangen).</w:t>
      </w:r>
    </w:p>
    <w:p>
      <w:pPr>
        <w:jc w:val="left"/>
      </w:pPr>
      <w:r>
        <w:rPr>
          <w:b/>
        </w:rPr>
        <w:t>Qualifikation</w:t>
      </w:r>
      <w:r>
        <w:t>: Abwägungsdefizit; erheblich.</w:t>
      </w:r>
    </w:p>
    <w:p>
      <w:pPr>
        <w:pStyle w:val="Heading3"/>
      </w:pPr>
      <w:r>
        <w:rPr>
          <w:rFonts w:ascii="Times New Roman" w:hAnsi="Times New Roman"/>
        </w:rPr>
        <w:t>Fehler D — Abwägungsausfall Soziale Verträglichkeit (§ 1 Abs. 6 Nr. 2 BauGB)</w:t>
      </w:r>
    </w:p>
    <w:p>
      <w:pPr>
        <w:jc w:val="left"/>
      </w:pPr>
      <w:r>
        <w:t>Abwägungsprotokoll S. 54: Verweis auf 30 %-WBS-Anteil. Keine Analyse Verdrängungsrisiko, Infrastrukturfolgekosten, Milieuschutz-Nachbargebiet.</w:t>
      </w:r>
    </w:p>
    <w:p>
      <w:pPr>
        <w:jc w:val="left"/>
      </w:pPr>
      <w:r>
        <w:rPr>
          <w:b/>
        </w:rPr>
        <w:t>Qualifikation</w:t>
      </w:r>
      <w:r>
        <w:t>: Abwägungsausfall; erheblich (vollständige Nichtbefassung mit dem Belang).</w:t>
      </w:r>
    </w:p>
    <w:p>
      <w:pPr>
        <w:pStyle w:val="Heading3"/>
      </w:pPr>
      <w:r>
        <w:rPr>
          <w:rFonts w:ascii="Times New Roman" w:hAnsi="Times New Roman"/>
        </w:rPr>
        <w:t>Fehler E — Abwägungsfehlgewichtung Lärmschutz (§ 1 Abs. 6 Nr. 1 BauGB)</w:t>
      </w:r>
    </w:p>
    <w:p>
      <w:pPr>
        <w:jc w:val="left"/>
      </w:pPr>
      <w:r>
        <w:t>Abwägungsprotokoll S. 38: Passiver Schallschutz als ausreichend. Keine Auseinandersetzung mit Fensterlüftungsproblematik, Außenwohnbereichen, fehlendem Prognosezuschlag.</w:t>
      </w:r>
    </w:p>
    <w:p>
      <w:pPr>
        <w:jc w:val="left"/>
      </w:pPr>
      <w:r>
        <w:rPr>
          <w:b/>
        </w:rPr>
        <w:t>Qualifikation</w:t>
      </w:r>
      <w:r>
        <w:t>: Abwägungsfehlgewichtung; erheblich.</w:t>
      </w:r>
    </w:p>
    <w:p/>
    <w:p>
      <w:pPr>
        <w:pStyle w:val="Heading2"/>
      </w:pPr>
      <w:r>
        <w:rPr>
          <w:rFonts w:ascii="Times New Roman" w:hAnsi="Times New Roman"/>
        </w:rPr>
        <w:t>4. Kausalitätsprüfung (§ 214 Abs. 3 Satz 2 BauGB)</w:t>
      </w:r>
    </w:p>
    <w:p>
      <w:pPr>
        <w:jc w:val="left"/>
      </w:pPr>
      <w:r>
        <w:t>Das Kausalitätserfordernis ist für alle fünf Fehler erfüllt: Hätte das Bezirksamt die Klimaanpassungs- und Artenschutzbelange korrekt ermittelt und gewichtet, wäre die Planung jedenfalls in dieser Form nicht beschlossen worden (alternative Lösungen: reduzierte Bebauung 5 Geschosse/240 WE, Verlegung auf alternativen Standort). Das OVG wird dies im Rahmen der Normenkontrolle eigenständig beurteilen.</w:t>
      </w:r>
    </w:p>
    <w:p>
      <w:pPr>
        <w:jc w:val="left"/>
      </w:pPr>
      <w:r>
        <w:t>Quellen: dejure.org (§ 1 BauGB, § 2 BauGB, § 214 BauGB); BVerwG, Urt. v. 05.07.1974 — IV C 50.72 (bundesverwaltungsgericht.de); BVerwG, Urt. v. 09.04.2008 — 4 CN 1.07 (bundesverwaltungsgericht.de); openjur.de.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Abwägungsausfall: Die Gemeinde führt überhaupt keine Abwägung durch.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Abwägungsausfall: Die Gemeinde führt überhaupt keine Abwägung durch.</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