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16 — Normenkontrollantrag gem. § 47 VwGO — Vollständige Antragschrift (Kanzleientwurf)</w:t>
      </w:r>
    </w:p>
    <w:p>
      <w:pPr>
        <w:jc w:val="left"/>
      </w:pPr>
      <w:r>
        <w:t>An das</w:t>
      </w:r>
    </w:p>
    <w:p>
      <w:pPr>
        <w:jc w:val="left"/>
      </w:pPr>
      <w:r>
        <w:t>Oberverwaltungsgericht Berlin-Brandenburg</w:t>
      </w:r>
    </w:p>
    <w:p>
      <w:pPr>
        <w:jc w:val="left"/>
      </w:pPr>
      <w:r>
        <w:t>Hardenbergstraße 31</w:t>
      </w:r>
    </w:p>
    <w:p>
      <w:pPr>
        <w:jc w:val="left"/>
      </w:pPr>
      <w:r>
        <w:t>10623 Berlin</w:t>
      </w:r>
    </w:p>
    <w:p>
      <w:pPr>
        <w:jc w:val="left"/>
      </w:pPr>
      <w:r>
        <w:rPr>
          <w:b/>
        </w:rPr>
        <w:t>Normenkontrollantrag gem. § 47 Abs. 1 Nr. 1 VwGO</w:t>
      </w:r>
    </w:p>
    <w:p>
      <w:pPr>
        <w:jc w:val="left"/>
      </w:pPr>
      <w:r>
        <w:t>Kanzlei BT-2026-0314 · Eingereicht: 14. April 2026</w:t>
      </w:r>
    </w:p>
    <w:p/>
    <w:p>
      <w:pPr>
        <w:pStyle w:val="Heading2"/>
      </w:pPr>
      <w:r>
        <w:rPr>
          <w:rFonts w:ascii="Times New Roman" w:hAnsi="Times New Roman"/>
        </w:rPr>
        <w:t>Antragstellerin</w:t>
      </w:r>
    </w:p>
    <w:p>
      <w:pPr>
        <w:jc w:val="left"/>
      </w:pPr>
      <w:r>
        <w:t>Bürgerinitiative „Rettet den Spreeuferpark Friedrichshain" e.V.</w:t>
      </w:r>
    </w:p>
    <w:p>
      <w:pPr>
        <w:jc w:val="left"/>
      </w:pPr>
      <w:r>
        <w:t>Rummelsburger Straße 44, 10245 Berlin</w:t>
      </w:r>
    </w:p>
    <w:p>
      <w:pPr>
        <w:jc w:val="left"/>
      </w:pPr>
      <w:r>
        <w:t>vertreten durch die Vorsitzende Dr. Henrike Tannengarten-Roosendaal</w:t>
      </w:r>
    </w:p>
    <w:p>
      <w:pPr>
        <w:jc w:val="left"/>
      </w:pPr>
      <w:r>
        <w:t>Prozessbevollmächtigte: RAin Dr. Friederike Pohl-Krauss, Kanzlei Tannengarten Rechtsanwälte BT, Oranienstraße 187, 10999 Berlin</w:t>
      </w:r>
    </w:p>
    <w:p/>
    <w:p>
      <w:pPr>
        <w:pStyle w:val="Heading2"/>
      </w:pPr>
      <w:r>
        <w:rPr>
          <w:rFonts w:ascii="Times New Roman" w:hAnsi="Times New Roman"/>
        </w:rPr>
        <w:t>Antragsgegner</w:t>
      </w:r>
    </w:p>
    <w:p>
      <w:pPr>
        <w:jc w:val="left"/>
      </w:pPr>
      <w:r>
        <w:t>Land Berlin, vertreten durch den Bezirk Friedrichshain-Kreuzberg, Bezirksamt, Yorckstraße 4–11, 10965 Berlin</w:t>
      </w:r>
    </w:p>
    <w:p/>
    <w:p>
      <w:pPr>
        <w:pStyle w:val="Heading2"/>
      </w:pPr>
      <w:r>
        <w:rPr>
          <w:rFonts w:ascii="Times New Roman" w:hAnsi="Times New Roman"/>
        </w:rPr>
        <w:t>Beigeladene (zu beantragen)</w:t>
      </w:r>
    </w:p>
    <w:p>
      <w:pPr>
        <w:jc w:val="left"/>
      </w:pPr>
      <w:r>
        <w:t>Bauland Spreepark GmbH, Unter den Linden 12, 10117 Berlin</w:t>
      </w:r>
    </w:p>
    <w:p>
      <w:pPr>
        <w:jc w:val="left"/>
      </w:pPr>
      <w:r>
        <w:t>(vertreten durch GF Klaus Steinheim-Wittfeldt)</w:t>
      </w:r>
    </w:p>
    <w:p/>
    <w:p>
      <w:pPr>
        <w:pStyle w:val="Heading2"/>
      </w:pPr>
      <w:r>
        <w:rPr>
          <w:rFonts w:ascii="Times New Roman" w:hAnsi="Times New Roman"/>
        </w:rPr>
        <w:t>Antragsgegenstand</w:t>
      </w:r>
    </w:p>
    <w:p>
      <w:pPr>
        <w:jc w:val="left"/>
      </w:pPr>
      <w:r>
        <w:t>Bebauungsplan XV-43d „Spreepark Friedrichshain", festgesetzt als Satzung durch Beschluss der BVV Friedrichshain-Kreuzberg vom 12.03.2026, bekanntgemacht im Amtsblatt Berlin Nr. 12/2026 vom 20.03.2026.</w:t>
      </w:r>
    </w:p>
    <w:p/>
    <w:p>
      <w:pPr>
        <w:pStyle w:val="Heading2"/>
      </w:pPr>
      <w:r>
        <w:rPr>
          <w:rFonts w:ascii="Times New Roman" w:hAnsi="Times New Roman"/>
        </w:rPr>
        <w:t>Antrag</w:t>
      </w:r>
    </w:p>
    <w:p>
      <w:pPr>
        <w:jc w:val="left"/>
      </w:pPr>
      <w:r>
        <w:t>Die Antragstellerin beantragt:</w:t>
      </w:r>
    </w:p>
    <w:p>
      <w:pPr>
        <w:pStyle w:val="ListNumber"/>
      </w:pPr>
      <w:r>
        <w:t>Den Bebauungsplan XV-43d „Spreepark Friedrichshain" des Bezirks Friedrichshain-Kreuzberg von Berlin (BVV-Beschluss vom 12.03.2026, Amtsblatt Berlin Nr. 12/2026) für unwirksam zu erklären.</w:t>
      </w:r>
    </w:p>
    <w:p>
      <w:pPr>
        <w:pStyle w:val="ListNumber"/>
      </w:pPr>
      <w:r>
        <w:t>Den Antragsgegner zu verurteilen, die Kosten des Verfahrens zu tragen.</w:t>
      </w:r>
    </w:p>
    <w:p>
      <w:pPr>
        <w:pStyle w:val="ListNumber"/>
      </w:pPr>
      <w:r>
        <w:t>Die Beiladung der Bauland Spreepark GmbH gem. § 65 VwGO anzuordnen.</w:t>
      </w:r>
    </w:p>
    <w:p/>
    <w:p>
      <w:pPr>
        <w:pStyle w:val="Heading2"/>
      </w:pPr>
      <w:r>
        <w:rPr>
          <w:rFonts w:ascii="Times New Roman" w:hAnsi="Times New Roman"/>
        </w:rPr>
        <w:t>I. Zulässigkeit</w:t>
      </w:r>
    </w:p>
    <w:p>
      <w:pPr>
        <w:pStyle w:val="Heading3"/>
      </w:pPr>
      <w:r>
        <w:rPr>
          <w:rFonts w:ascii="Times New Roman" w:hAnsi="Times New Roman"/>
        </w:rPr>
        <w:t>1. Zuständigkeit des OVG (§ 47 Abs. 1 Nr. 1 VwGO)</w:t>
      </w:r>
    </w:p>
    <w:p>
      <w:pPr>
        <w:jc w:val="left"/>
      </w:pPr>
      <w:r>
        <w:t>Das OVG Berlin-Brandenburg ist zuständig für Normenkontrollanträge gegen Bebauungspläne im Land Berlin (§ 47 Abs. 1 Nr. 1 VwGO i.V.m. § 7 Abs. 1 AGVwGO Bln).</w:t>
      </w:r>
    </w:p>
    <w:p>
      <w:pPr>
        <w:pStyle w:val="Heading3"/>
      </w:pPr>
      <w:r>
        <w:rPr>
          <w:rFonts w:ascii="Times New Roman" w:hAnsi="Times New Roman"/>
        </w:rPr>
        <w:t>2. Antragsbefugnis (§ 47 Abs. 2 VwGO)</w:t>
      </w:r>
    </w:p>
    <w:p>
      <w:pPr>
        <w:jc w:val="left"/>
      </w:pPr>
      <w:r>
        <w:t>Die Antragstellerin ist als e.V. antragsbefugt. Ihre Mitglieder wohnen und arbeiten in unmittelbarer Nähe des Plangebiets und sind in ihren durch § 1 Abs. 6 BauGB geschützten Belangen (Naherholung, Lärm, Artenschutz, Klimaanpassung) verletzt. Die Antragstellerin macht eigene Rechte geltend (§ 47 Abs. 2 Satz 1 VwGO): Das OVG Berlin-Brandenburg erkennt die Antragsbefugnis von Bürgervereinen mit entsprechendem Satzungszweck an (OVG Berlin-Brandenburg, Beschl. v. 26.04.2012 — OVG 10 N 31.10), wenn — wie hier — die Mitglieder im Plangebiet oder dessen unmittelbarer Umgebung wohnhaft sind.</w:t>
      </w:r>
    </w:p>
    <w:p>
      <w:pPr>
        <w:pStyle w:val="Heading3"/>
      </w:pPr>
      <w:r>
        <w:rPr>
          <w:rFonts w:ascii="Times New Roman" w:hAnsi="Times New Roman"/>
        </w:rPr>
        <w:t>3. Antragsfrist (§ 47 Abs. 2 Satz 1 VwGO)</w:t>
      </w:r>
    </w:p>
    <w:p>
      <w:pPr>
        <w:jc w:val="left"/>
      </w:pPr>
      <w:r>
        <w:t>Frist: 1 Jahr ab Bekanntmachung (20.03.2026). Der Antrag wird am 14.04.2026 eingereicht; die Frist ist gewahrt.</w:t>
      </w:r>
    </w:p>
    <w:p>
      <w:pPr>
        <w:pStyle w:val="Heading3"/>
      </w:pPr>
      <w:r>
        <w:rPr>
          <w:rFonts w:ascii="Times New Roman" w:hAnsi="Times New Roman"/>
        </w:rPr>
        <w:t>4. § 215 BauGB-Rüge</w:t>
      </w:r>
    </w:p>
    <w:p>
      <w:pPr>
        <w:jc w:val="left"/>
      </w:pPr>
      <w:r>
        <w:t>Die Antragstellerin hat die Verfahrensmängel mit Schreiben vom 28.03.2026 (Eingang Bezirksamt 29.03.2026) fristgerecht und mit hinreichender Sachverhaltsdarlage gerügt (vgl. Aktenstück 15).</w:t>
      </w:r>
    </w:p>
    <w:p/>
    <w:p>
      <w:pPr>
        <w:pStyle w:val="Heading2"/>
      </w:pPr>
      <w:r>
        <w:rPr>
          <w:rFonts w:ascii="Times New Roman" w:hAnsi="Times New Roman"/>
        </w:rPr>
        <w:t>II. Begründetheit</w:t>
      </w:r>
    </w:p>
    <w:p>
      <w:pPr>
        <w:pStyle w:val="Heading3"/>
      </w:pPr>
      <w:r>
        <w:rPr>
          <w:rFonts w:ascii="Times New Roman" w:hAnsi="Times New Roman"/>
        </w:rPr>
        <w:t>1. Abwägungsausfall Klimaanpassung (§ 1 Abs. 6 Nr. 7h BauGB, § 2 Abs. 3 BauGB)</w:t>
      </w:r>
    </w:p>
    <w:p>
      <w:pPr>
        <w:jc w:val="left"/>
      </w:pPr>
      <w:r>
        <w:t>Das Plangebiet ist nach dem Klimaatlas Berlin 2023 als „klimatisch bedeutsame Freifläche mit Kaltluftproduktionsfunktion" klassifiziert. Die vollständige Versiegelung durch 8-geschossige Bebauung unterbricht die Kaltluftschneise Spree. Der Umweltbericht enthält keine Klimaanalyse. Die Begründung verweist auf Dachbegrünung, die keine Kaltluftfunktion ersetzen kann.</w:t>
      </w:r>
    </w:p>
    <w:p>
      <w:pPr>
        <w:jc w:val="left"/>
      </w:pPr>
      <w:r>
        <w:t>Rechtliche Würdigung: § 2 Abs. 3 BauGB (Ermittlungsgebot), § 1 Abs. 6 Nr. 7h BauGB. Dieser Abwägungsfehler ist offensichtlich (keine Klimaanalyse vorhanden) und kausal (bei korrekter Analyse hätte der Belang das Abwägungsergebnis beeinflusst). Unbeachtlichkeit nach § 215 BauGB scheidet aus (fristgerechte Rüge).</w:t>
      </w:r>
    </w:p>
    <w:p>
      <w:pPr>
        <w:pStyle w:val="Heading3"/>
      </w:pPr>
      <w:r>
        <w:rPr>
          <w:rFonts w:ascii="Times New Roman" w:hAnsi="Times New Roman"/>
        </w:rPr>
        <w:t>2. Artenschutzverstoß (§ 44 BNatSchG, § 1 Abs. 6 Nr. 7a BauGB)</w:t>
      </w:r>
    </w:p>
    <w:p>
      <w:pPr>
        <w:jc w:val="left"/>
      </w:pPr>
      <w:r>
        <w:t>Das Artenschutzgutachten (Grünplan GmbH, August 2024) ist methodisch unzureichend (nur 2 statt mind. 4 Begehungen; keine Frühjahrsbegehung). Die Populationsgröße der Zauneidechse ist systematisch unterschätzt. Die CEF-Maßnahme (Rummelsburger Heide) ist nicht vorgezogen und deren Aufnahmekapazität nicht geprüft.</w:t>
      </w:r>
    </w:p>
    <w:p>
      <w:pPr>
        <w:jc w:val="left"/>
      </w:pPr>
      <w:r>
        <w:t>Rechtliche Würdigung: BVerwG, Urt. v. 14.07.2011 — 9 A 12.10 (CEF-Maßnahmen müssen vor Eingriff funktionsfähig sein). Der artenschutzrechtliche Konflikt ist nicht gelöst; der B-Plan kann nicht in Kraft bleiben.</w:t>
      </w:r>
    </w:p>
    <w:p>
      <w:pPr>
        <w:pStyle w:val="Heading3"/>
      </w:pPr>
      <w:r>
        <w:rPr>
          <w:rFonts w:ascii="Times New Roman" w:hAnsi="Times New Roman"/>
        </w:rPr>
        <w:t>3. Abwägungsfehlgewichtung Lärmschutz (§ 1 Abs. 6 Nr. 1 BauGB)</w:t>
      </w:r>
    </w:p>
    <w:p>
      <w:pPr>
        <w:jc w:val="left"/>
      </w:pPr>
      <w:r>
        <w:t>Das Lärmschutzgutachten (Akustik-Consult, Oktober 2024) enthält keinen Prognosezuschlag für 2030, unterschätzt Schienenlärm, bewertet Fensterlüftungsausschluss und Außenwohnbereiche nicht. Passiver Schallschutz allein genügt den Anforderungen an gesunde Wohnverhältnisse nicht, wenn gleichzeitig keine mechanische Lüftung geregelt ist (BVerwG, Urt. v. 22.03.2007 — 4 CN 2.06).</w:t>
      </w:r>
    </w:p>
    <w:p>
      <w:pPr>
        <w:pStyle w:val="Heading3"/>
      </w:pPr>
      <w:r>
        <w:rPr>
          <w:rFonts w:ascii="Times New Roman" w:hAnsi="Times New Roman"/>
        </w:rPr>
        <w:t>4. Formalmangel Aufstellungsbeschluss (§ 2 Abs. 1 Satz 2 BauGB, § 214 Abs. 1 Nr. 2 BauGB)</w:t>
      </w:r>
    </w:p>
    <w:p>
      <w:pPr>
        <w:jc w:val="left"/>
      </w:pPr>
      <w:r>
        <w:t>Unzureichende Gebietsabgrenzung in der Bekanntmachung vom 30.08.2022. Fristgerechte Rüge v. 28.03.2026.</w:t>
      </w:r>
    </w:p>
    <w:p>
      <w:pPr>
        <w:pStyle w:val="Heading3"/>
      </w:pPr>
      <w:r>
        <w:rPr>
          <w:rFonts w:ascii="Times New Roman" w:hAnsi="Times New Roman"/>
        </w:rPr>
        <w:t>5. Abwägungsausfall soziale Belange (§ 1 Abs. 6 Nr. 2 BauGB)</w:t>
      </w:r>
    </w:p>
    <w:p>
      <w:pPr>
        <w:jc w:val="left"/>
      </w:pPr>
      <w:r>
        <w:t>Keine Analyse Verdrängungsrisiko, Infrastrukturfolgekosten, Auswirkungen auf angrenzendes Milieuschutzgebiet.</w:t>
      </w:r>
    </w:p>
    <w:p/>
    <w:p>
      <w:pPr>
        <w:pStyle w:val="Heading2"/>
      </w:pPr>
      <w:r>
        <w:rPr>
          <w:rFonts w:ascii="Times New Roman" w:hAnsi="Times New Roman"/>
        </w:rPr>
        <w:t>III. Beweisangebote</w:t>
      </w:r>
    </w:p>
    <w:p>
      <w:pPr>
        <w:pStyle w:val="ListNumber"/>
      </w:pPr>
      <w:r>
        <w:t>Gegengutachten BUND Berlin (Dr. Wendler-Faber) — als Anlage beigefügt.</w:t>
      </w:r>
    </w:p>
    <w:p>
      <w:pPr>
        <w:pStyle w:val="ListNumber"/>
      </w:pPr>
      <w:r>
        <w:t>TU-Wohnmarktanalyse Prof. Schöner-Hoffmann — als Anlage beigefügt.</w:t>
      </w:r>
    </w:p>
    <w:p>
      <w:pPr>
        <w:pStyle w:val="ListNumber"/>
      </w:pPr>
      <w:r>
        <w:t>Schallmessprotokoll Ingenieurbüro Schalltech, 04.02.2026 — als Anlage beigefügt.</w:t>
      </w:r>
    </w:p>
    <w:p>
      <w:pPr>
        <w:pStyle w:val="ListNumber"/>
      </w:pPr>
      <w:r>
        <w:t>Klimaatlas Berlin 2023, Auszug Plangebiet — als Anlage beigefügt.</w:t>
      </w:r>
    </w:p>
    <w:p>
      <w:pPr>
        <w:pStyle w:val="ListNumber"/>
      </w:pPr>
      <w:r>
        <w:t>Antrag auf gerichtliches Sachverständigengutachten zu Artenschutz und Lärm (§ 98 VwGO).</w:t>
      </w:r>
    </w:p>
    <w:p/>
    <w:p>
      <w:pPr>
        <w:jc w:val="left"/>
      </w:pPr>
      <w:r>
        <w:t>RAin Dr. Friederike Pohl-Krauss</w:t>
      </w:r>
    </w:p>
    <w:p>
      <w:pPr>
        <w:jc w:val="left"/>
      </w:pPr>
      <w:r>
        <w:t>Kanzlei Tannengarten Rechtsanwälte BT, Berlin</w:t>
      </w:r>
    </w:p>
    <w:p>
      <w:pPr>
        <w:pStyle w:val="ListNumber"/>
      </w:pPr>
      <w:r>
        <w:t>April 2026</w:t>
      </w:r>
    </w:p>
    <w:p>
      <w:pPr>
        <w:jc w:val="left"/>
      </w:pPr>
      <w:r>
        <w:t>Quellen: dejure.org (§ 47 VwGO, § 1 BauGB, § 44 BNatSchG, § 214 BauGB); BVerwG, Urt. v. 14.07.2011 — 9 A 12.10 (bundesverwaltungsgericht.de); BVerwG, Urt. v. 22.03.2007 — 4 CN 2.06 (bundesverwaltungsgericht.de); openjur.de.</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Oberverwaltungsgericht Berlin-Brandenburg</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Oberverwaltungsgericht Berlin-Brandenburg</w:t>
    </w:r>
  </w:p>
  <w:p>
    <w:pPr>
      <w:jc w:val="left"/>
      <w:pBdr>
        <w:bottom w:val="single" w:sz="6" w:space="2" w:color="3B3F45"/>
      </w:pBdr>
    </w:pPr>
    <w:r>
      <w:rPr>
        <w:rFonts w:ascii="Times New Roman" w:hAnsi="Times New Roman"/>
        <w:color w:val="6B6B66"/>
        <w:sz w:val="16"/>
      </w:rPr>
      <w:t>Gericht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