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17 — Eilantrag § 47 Abs. 6 VwGO — Außervollzugsetzung B-Plan XV-43d</w:t>
      </w:r>
    </w:p>
    <w:p>
      <w:pPr>
        <w:jc w:val="left"/>
      </w:pPr>
      <w:r>
        <w:t>An das</w:t>
      </w:r>
    </w:p>
    <w:p>
      <w:pPr>
        <w:jc w:val="left"/>
      </w:pPr>
      <w:r>
        <w:t>Oberverwaltungsgericht Berlin-Brandenburg</w:t>
      </w:r>
    </w:p>
    <w:p>
      <w:pPr>
        <w:jc w:val="left"/>
      </w:pPr>
      <w:r>
        <w:t>Hardenbergstraße 31</w:t>
      </w:r>
    </w:p>
    <w:p>
      <w:pPr>
        <w:jc w:val="left"/>
      </w:pPr>
      <w:r>
        <w:t>10623 Berlin</w:t>
      </w:r>
    </w:p>
    <w:p>
      <w:pPr>
        <w:jc w:val="left"/>
      </w:pPr>
      <w:r>
        <w:rPr>
          <w:b/>
        </w:rPr>
        <w:t>Eilantrag gem. § 47 Abs. 6 VwGO</w:t>
      </w:r>
    </w:p>
    <w:p>
      <w:pPr>
        <w:jc w:val="left"/>
      </w:pPr>
      <w:r>
        <w:t>(Außervollzugsetzung Bebauungsplan XV-43d „Spreepark Friedrichshain")</w:t>
      </w:r>
    </w:p>
    <w:p>
      <w:pPr>
        <w:jc w:val="left"/>
      </w:pPr>
      <w:r>
        <w:t>Eingereicht: 16. April 2026 · Kanzlei BT-2026-0314/EA</w:t>
      </w:r>
    </w:p>
    <w:p/>
    <w:p>
      <w:pPr>
        <w:pStyle w:val="Heading2"/>
      </w:pPr>
      <w:r>
        <w:rPr>
          <w:rFonts w:ascii="Times New Roman" w:hAnsi="Times New Roman"/>
        </w:rPr>
        <w:t>Antragstellerin, Antragsgegner, Beigeladene</w:t>
      </w:r>
    </w:p>
    <w:p>
      <w:pPr>
        <w:jc w:val="left"/>
      </w:pPr>
      <w:r>
        <w:t>(wie Hauptsache, Aktenstück 16)</w:t>
      </w:r>
    </w:p>
    <w:p/>
    <w:p>
      <w:pPr>
        <w:pStyle w:val="Heading2"/>
      </w:pPr>
      <w:r>
        <w:rPr>
          <w:rFonts w:ascii="Times New Roman" w:hAnsi="Times New Roman"/>
        </w:rPr>
        <w:t>Antrag</w:t>
      </w:r>
    </w:p>
    <w:p>
      <w:pPr>
        <w:jc w:val="left"/>
      </w:pPr>
      <w:r>
        <w:t>Die Antragstellerin beantragt,</w:t>
      </w:r>
    </w:p>
    <w:p>
      <w:pPr>
        <w:jc w:val="left"/>
      </w:pPr>
      <w:r>
        <w:t>den Bebauungsplan XV-43d „Spreepark Friedrichshain" des Bezirks Friedrichshain-Kreuzberg von Berlin (BVV-Beschluss vom 12.03.2026, Amtsblatt Berlin Nr. 12/2026 vom 20.03.2026) gem. § 47 Abs. 6 VwGO vorläufig außer Vollzug zu setzen, bis über den Normenkontrollantrag (Hauptsache, AZ 10 A 1.26) rechtskräftig entschieden ist.</w:t>
      </w:r>
    </w:p>
    <w:p/>
    <w:p>
      <w:pPr>
        <w:pStyle w:val="Heading2"/>
      </w:pPr>
      <w:r>
        <w:rPr>
          <w:rFonts w:ascii="Times New Roman" w:hAnsi="Times New Roman"/>
        </w:rPr>
        <w:t>I. Zulässigkeit</w:t>
      </w:r>
    </w:p>
    <w:p>
      <w:pPr>
        <w:jc w:val="left"/>
      </w:pPr>
      <w:r>
        <w:t>Der Eilantrag nach § 47 Abs. 6 VwGO ist zulässig, wenn gleichzeitig ein zulässiger Normenkontrollantrag in der Hauptsache anhängig oder zumindest gleichzeitig einzureichen ist. Der Normenkontrollantrag wurde am 14.04.2026 eingereicht (Aktenstück 16). Zulässigkeitsvoraussetzungen sind im Übrigen identisch mit dem Hauptsacheverfahren (Antragsbefugnis, Frist).</w:t>
      </w:r>
    </w:p>
    <w:p/>
    <w:p>
      <w:pPr>
        <w:pStyle w:val="Heading2"/>
      </w:pPr>
      <w:r>
        <w:rPr>
          <w:rFonts w:ascii="Times New Roman" w:hAnsi="Times New Roman"/>
        </w:rPr>
        <w:t>II. Maßstab § 47 Abs. 6 VwGO</w:t>
      </w:r>
    </w:p>
    <w:p>
      <w:pPr>
        <w:jc w:val="left"/>
      </w:pPr>
      <w:r>
        <w:t>Nach § 47 Abs. 6 VwGO kann das Normenkontrollgericht eine einstweilige Anordnung erlassen, wenn dies zur Abwehr schwerer Nachteile oder aus anderen wichtigen Gründen dringend geboten ist.</w:t>
      </w:r>
    </w:p>
    <w:p>
      <w:pPr>
        <w:jc w:val="left"/>
      </w:pPr>
      <w:r>
        <w:t>Das BVerwG hat in ständiger Rechtsprechung betont, dass der Maßstab für § 47 Abs. 6 VwGO streng ist: Die Außervollzugsetzung eines Bebauungsplans ist nur bei schwerwiegenden Mängeln und erheblichen irreversiblen Nachteilen gerechtfertigt (BVerwG, Beschl. v. 16.09.2015 — 4 VR 2.15, NVwZ-RR 2016, 55). Es ist eine Folgenabwägung vorzunehmen.</w:t>
      </w:r>
    </w:p>
    <w:p>
      <w:pPr>
        <w:jc w:val="left"/>
      </w:pPr>
      <w:r>
        <w:t>Das OVG Berlin-Brandenburg wendet bei Bebauungsplänen mit ökologisch wertvollen Flächen einen weniger strengen Maßstab an, wenn ein Vollzug des Plans irreversible tatsächliche Zustände schaffen würde (OVG Berlin-Brandenburg, Beschl. v. 24.02.2011 — 10 S 2.11).</w:t>
      </w:r>
    </w:p>
    <w:p/>
    <w:p>
      <w:pPr>
        <w:pStyle w:val="Heading2"/>
      </w:pPr>
      <w:r>
        <w:rPr>
          <w:rFonts w:ascii="Times New Roman" w:hAnsi="Times New Roman"/>
        </w:rPr>
        <w:t>III. Begründung: Schwere Nachteile und dringendes Geboten-Sein</w:t>
      </w:r>
    </w:p>
    <w:p>
      <w:pPr>
        <w:pStyle w:val="Heading3"/>
      </w:pPr>
      <w:r>
        <w:rPr>
          <w:rFonts w:ascii="Times New Roman" w:hAnsi="Times New Roman"/>
        </w:rPr>
        <w:t>1. Drohende Baugenehmigung</w:t>
      </w:r>
    </w:p>
    <w:p>
      <w:pPr>
        <w:jc w:val="left"/>
      </w:pPr>
      <w:r>
        <w:t>Die Bauland Spreepark GmbH hat am 25.03.2026 einen Bauantrag für das erste Baufeld eingereicht. Das Bezirksamt hat angekündigt, die Baugenehmigung innerhalb von 6–8 Wochen zu erteilen (erwartet: Mai 2026). Mit Erteilung der Baugenehmigung kann der Investor mit Bodenaushub und Rodungsmaßnahmen beginnen.</w:t>
      </w:r>
    </w:p>
    <w:p>
      <w:pPr>
        <w:pStyle w:val="Heading3"/>
      </w:pPr>
      <w:r>
        <w:rPr>
          <w:rFonts w:ascii="Times New Roman" w:hAnsi="Times New Roman"/>
        </w:rPr>
        <w:t>2. Irreversible Zerstörung des Eidechsenhabitats</w:t>
      </w:r>
    </w:p>
    <w:p>
      <w:pPr>
        <w:jc w:val="left"/>
      </w:pPr>
      <w:r>
        <w:t>Eine Baufeldräumung würde das Zauneidechsenhabitat vollständig zerstören, bevor die CEF-Maßnahme auf der Rummelsburger Heide wirksam ist. Die Tötung und Störung von Individuen einer FFH-Anhang-IV-Art (§ 44 BNatSchG) ist irreversibel und kann durch eine spätere Aufhebung des B-Plans nicht geheilt werden.</w:t>
      </w:r>
    </w:p>
    <w:p>
      <w:pPr>
        <w:pStyle w:val="Heading3"/>
      </w:pPr>
      <w:r>
        <w:rPr>
          <w:rFonts w:ascii="Times New Roman" w:hAnsi="Times New Roman"/>
        </w:rPr>
        <w:t>3. Unwiderruflicher Verlust der Kaltluftfunktion</w:t>
      </w:r>
    </w:p>
    <w:p>
      <w:pPr>
        <w:jc w:val="left"/>
      </w:pPr>
      <w:r>
        <w:t>Die Bebauung und Versiegelung der Freifläche würde die klimatische Kaltluftproduktionsfunktion dauerhaft und irreversibel unterbrechen. Bei einem späteren Obsiegen im Hauptsacheverfahren wäre eine Rückabwicklung der bereits errichteten Gebäude unverhältnismäßig und faktisch nicht durchsetzbar (BVerwG, Beschl. v. 16.09.2015 — 4 VR 2.15).</w:t>
      </w:r>
    </w:p>
    <w:p>
      <w:pPr>
        <w:pStyle w:val="Heading3"/>
      </w:pPr>
      <w:r>
        <w:rPr>
          <w:rFonts w:ascii="Times New Roman" w:hAnsi="Times New Roman"/>
        </w:rPr>
        <w:t>4. Folgenabwägung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Folge bei Vollzug (Versagung EA)</w:t>
            </w:r>
          </w:p>
        </w:tc>
        <w:tc>
          <w:tcPr>
            <w:tcW w:type="dxa" w:w="4536"/>
          </w:tcPr>
          <w:p>
            <w:r>
              <w:rPr>
                <w:rFonts w:ascii="Times New Roman" w:hAnsi="Times New Roman"/>
                <w:b/>
                <w:sz w:val="20"/>
              </w:rPr>
              <w:t>Folge bei Außervollzugsetzung (Erlass EA)</w:t>
            </w:r>
          </w:p>
        </w:tc>
      </w:tr>
      <w:tr>
        <w:tc>
          <w:tcPr>
            <w:tcW w:type="dxa" w:w="4536"/>
          </w:tcPr>
          <w:p>
            <w:r>
              <w:rPr>
                <w:rFonts w:ascii="Times New Roman" w:hAnsi="Times New Roman"/>
                <w:sz w:val="20"/>
              </w:rPr>
              <w:t>Irreversible Zerstörung Eidechsenhabitat</w:t>
            </w:r>
          </w:p>
        </w:tc>
        <w:tc>
          <w:tcPr>
            <w:tcW w:type="dxa" w:w="4536"/>
          </w:tcPr>
          <w:p>
            <w:r>
              <w:rPr>
                <w:rFonts w:ascii="Times New Roman" w:hAnsi="Times New Roman"/>
                <w:sz w:val="20"/>
              </w:rPr>
              <w:t>Verzögerung Baubeginn um Dauer des HV</w:t>
            </w:r>
          </w:p>
        </w:tc>
      </w:tr>
      <w:tr>
        <w:tc>
          <w:tcPr>
            <w:tcW w:type="dxa" w:w="4536"/>
          </w:tcPr>
          <w:p>
            <w:r>
              <w:rPr>
                <w:rFonts w:ascii="Times New Roman" w:hAnsi="Times New Roman"/>
                <w:sz w:val="20"/>
              </w:rPr>
              <w:t>Irreversibler Verlust Kaltluftschneise</w:t>
            </w:r>
          </w:p>
        </w:tc>
        <w:tc>
          <w:tcPr>
            <w:tcW w:type="dxa" w:w="4536"/>
          </w:tcPr>
          <w:p>
            <w:r>
              <w:rPr>
                <w:rFonts w:ascii="Times New Roman" w:hAnsi="Times New Roman"/>
                <w:sz w:val="20"/>
              </w:rPr>
              <w:t>Wirtschaftlicher Schaden Investor (Zinsen, Mietausfall)</w:t>
            </w:r>
          </w:p>
        </w:tc>
      </w:tr>
      <w:tr>
        <w:tc>
          <w:tcPr>
            <w:tcW w:type="dxa" w:w="4536"/>
          </w:tcPr>
          <w:p>
            <w:r>
              <w:rPr>
                <w:rFonts w:ascii="Times New Roman" w:hAnsi="Times New Roman"/>
                <w:sz w:val="20"/>
              </w:rPr>
              <w:t>Verlust letzter Spreeufer-Grünfläche</w:t>
            </w:r>
          </w:p>
        </w:tc>
        <w:tc>
          <w:tcPr>
            <w:tcW w:type="dxa" w:w="4536"/>
          </w:tcPr>
          <w:p>
            <w:r>
              <w:rPr>
                <w:rFonts w:ascii="Times New Roman" w:hAnsi="Times New Roman"/>
                <w:sz w:val="20"/>
              </w:rPr>
              <w:t>Weiter bestehende Unsicherheit für Anlieger</w:t>
            </w:r>
          </w:p>
        </w:tc>
      </w:tr>
      <w:tr>
        <w:tc>
          <w:tcPr>
            <w:tcW w:type="dxa" w:w="4536"/>
          </w:tcPr>
          <w:p>
            <w:r>
              <w:rPr>
                <w:rFonts w:ascii="Times New Roman" w:hAnsi="Times New Roman"/>
                <w:sz w:val="20"/>
              </w:rPr>
              <w:t>Parallele Verletzung § 44 BNatSchG</w:t>
            </w:r>
          </w:p>
        </w:tc>
        <w:tc>
          <w:tcPr>
            <w:tcW w:type="dxa" w:w="4536"/>
          </w:tcPr>
          <w:p>
            <w:r>
              <w:rPr>
                <w:rFonts w:ascii="Times New Roman" w:hAnsi="Times New Roman"/>
                <w:sz w:val="20"/>
              </w:rPr>
              <w:t>—</w:t>
            </w:r>
          </w:p>
        </w:tc>
      </w:tr>
    </w:tbl>
    <w:p>
      <w:pPr>
        <w:jc w:val="left"/>
      </w:pPr>
      <w:r>
        <w:t>Die Folgen des Vollzugs überwiegen deutlich. Der Investor kann wirtschaftliche Schäden durch Zinsmehrkosten quantifizieren; diese sind durch Schadensersatzansprüche gegen den Antragsgegner theoretisch ausgleichbar. Ökologische und klimatische Schäden sind hingegen nicht ausgleichbar.</w:t>
      </w:r>
    </w:p>
    <w:p>
      <w:pPr>
        <w:pStyle w:val="Heading3"/>
      </w:pPr>
      <w:r>
        <w:rPr>
          <w:rFonts w:ascii="Times New Roman" w:hAnsi="Times New Roman"/>
        </w:rPr>
        <w:t>5. Summarische Prüfung Hauptsache</w:t>
      </w:r>
    </w:p>
    <w:p>
      <w:pPr>
        <w:jc w:val="left"/>
      </w:pPr>
      <w:r>
        <w:t>Im einstweiligen Rechtsschutzverfahren nach § 47 Abs. 6 VwGO ist auch eine summarische Prüfung der Erfolgsaussichten in der Hauptsache vorzunehmen (BVerwG, Beschl. v. 25.02.2015 — 4 VR 5.14). Die Erfolgsaussichten des Normenkontrollantrags sind nach vorläufiger Einschätzung überwiegend als gut zu bewerten: Artenschutz (methodisches Defizit, nicht CEF-vorgezogen) und Klimaanpassung (vollständig fehlende Analyse) begründen erhebliche, offensichtliche Abwägungsfehler.</w:t>
      </w:r>
    </w:p>
    <w:p/>
    <w:p>
      <w:pPr>
        <w:pStyle w:val="Heading2"/>
      </w:pPr>
      <w:r>
        <w:rPr>
          <w:rFonts w:ascii="Times New Roman" w:hAnsi="Times New Roman"/>
        </w:rPr>
        <w:t>IV. Antrag auf sofortige Bearbeitung</w:t>
      </w:r>
    </w:p>
    <w:p>
      <w:pPr>
        <w:jc w:val="left"/>
      </w:pPr>
      <w:r>
        <w:t>Die Antragstellerin bittet das Gericht angesichts des drohenden Baubeginns im Mai 2026 um eine Entscheidung über den Eilantrag innerhalb von 4 Wochen (bis 14.05.2026).</w:t>
      </w:r>
    </w:p>
    <w:p/>
    <w:p>
      <w:pPr>
        <w:jc w:val="left"/>
      </w:pPr>
      <w:r>
        <w:t>RAin Dr. Friederike Pohl-Krauss</w:t>
      </w:r>
    </w:p>
    <w:p>
      <w:pPr>
        <w:jc w:val="left"/>
      </w:pPr>
      <w:r>
        <w:t>Kanzlei Tannengarten Rechtsanwälte BT, Berlin</w:t>
      </w:r>
    </w:p>
    <w:p>
      <w:pPr>
        <w:pStyle w:val="ListNumber"/>
      </w:pPr>
      <w:r>
        <w:t>April 2026</w:t>
      </w:r>
    </w:p>
    <w:p>
      <w:pPr>
        <w:jc w:val="left"/>
      </w:pPr>
      <w:r>
        <w:t>Quellen: dejure.org (§ 47 VwGO); BVerwG, Beschl. v. 16.09.2015 — 4 VR 2.15 (bundesverwaltungsgericht.de); OVG Berlin-Brandenburg, Beschl. v. 24.02.2011 — 10 S 2.11 (openjur.de).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Oberverwaltungsgericht Berlin-Brandenburg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Oberverwaltungsgericht Berlin-Brandenburg</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