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18 — Erwiderungsschriftsatz Land Berlin / Bezirk Friedrichshain-Kreuzberg</w:t>
      </w:r>
    </w:p>
    <w:p>
      <w:pPr>
        <w:jc w:val="left"/>
      </w:pPr>
      <w:r>
        <w:t>OVG Berlin-Brandenburg · AZ 10 A 1.26</w:t>
      </w:r>
    </w:p>
    <w:p>
      <w:pPr>
        <w:jc w:val="left"/>
      </w:pPr>
      <w:r>
        <w:t>Antragsgegner: Land Berlin / Bezirk Friedrichshain-Kreuzberg</w:t>
      </w:r>
    </w:p>
    <w:p>
      <w:pPr>
        <w:jc w:val="left"/>
      </w:pPr>
      <w:r>
        <w:t>Prozessbevollmächtigte: Senatsverwaltung für Justiz, Referent Rechtsanwalt Dr. Bernd Kaster-Mühlenbeck (Behördenvertreter)</w:t>
      </w:r>
    </w:p>
    <w:p>
      <w:pPr>
        <w:jc w:val="left"/>
      </w:pPr>
      <w:r>
        <w:t>Datum: 30. Mai 2026</w:t>
      </w:r>
    </w:p>
    <w:p/>
    <w:p>
      <w:pPr>
        <w:pStyle w:val="Heading2"/>
      </w:pPr>
      <w:r>
        <w:rPr>
          <w:rFonts w:ascii="Times New Roman" w:hAnsi="Times New Roman"/>
        </w:rPr>
        <w:t>I. Vorbemerkung</w:t>
      </w:r>
    </w:p>
    <w:p>
      <w:pPr>
        <w:jc w:val="left"/>
      </w:pPr>
      <w:r>
        <w:t>Der Antragsgegner beantragt, den Normenkontrollantrag als unbegründet abzuweisen. Der Bebauungsplan XV-43d wurde in einem ordnungsgemäßen Verfahren aufgestellt. Die geltend gemachten Mängel bestehen entweder nicht oder sind nach § 214, § 215 BauGB unbeachtlich.</w:t>
      </w:r>
    </w:p>
    <w:p/>
    <w:p>
      <w:pPr>
        <w:pStyle w:val="Heading2"/>
      </w:pPr>
      <w:r>
        <w:rPr>
          <w:rFonts w:ascii="Times New Roman" w:hAnsi="Times New Roman"/>
        </w:rPr>
        <w:t>II. Zur Zulässigkeit</w:t>
      </w:r>
    </w:p>
    <w:p>
      <w:pPr>
        <w:pStyle w:val="Heading3"/>
      </w:pPr>
      <w:r>
        <w:rPr>
          <w:rFonts w:ascii="Times New Roman" w:hAnsi="Times New Roman"/>
        </w:rPr>
        <w:t>Antragsbefugnis</w:t>
      </w:r>
    </w:p>
    <w:p>
      <w:pPr>
        <w:jc w:val="left"/>
      </w:pPr>
      <w:r>
        <w:t>Der Antragsgegner bestreitet die Antragsbefugnis der BI nicht. Die BI als e.V. mit Satzungszweck „Schutz des Spreeuferparks" und mit Mitgliedern im Planumfeld ist nach § 47 Abs. 2 VwGO antragsbefugt.</w:t>
      </w:r>
    </w:p>
    <w:p>
      <w:pPr>
        <w:pStyle w:val="Heading3"/>
      </w:pPr>
      <w:r>
        <w:rPr>
          <w:rFonts w:ascii="Times New Roman" w:hAnsi="Times New Roman"/>
        </w:rPr>
        <w:t>§ 215 BauGB-Rüge</w:t>
      </w:r>
    </w:p>
    <w:p>
      <w:pPr>
        <w:jc w:val="left"/>
      </w:pPr>
      <w:r>
        <w:t>Die Rüge v. 28.03.2026 ist fristgerecht und enthält eine hinreichende Sachverhaltsdarlage. Der Antragsgegner bestreitet die Ordnungsgemäßheit der Rüge nicht.</w:t>
      </w:r>
    </w:p>
    <w:p/>
    <w:p>
      <w:pPr>
        <w:pStyle w:val="Heading2"/>
      </w:pPr>
      <w:r>
        <w:rPr>
          <w:rFonts w:ascii="Times New Roman" w:hAnsi="Times New Roman"/>
        </w:rPr>
        <w:t>III. Zur Begründetheit</w:t>
      </w:r>
    </w:p>
    <w:p>
      <w:pPr>
        <w:pStyle w:val="Heading3"/>
      </w:pPr>
      <w:r>
        <w:rPr>
          <w:rFonts w:ascii="Times New Roman" w:hAnsi="Times New Roman"/>
        </w:rPr>
        <w:t>1. Klimaanpassung (§ 1 Abs. 6 Nr. 7h BauGB)</w:t>
      </w:r>
    </w:p>
    <w:p>
      <w:pPr>
        <w:jc w:val="left"/>
      </w:pPr>
      <w:r>
        <w:rPr>
          <w:b/>
        </w:rPr>
        <w:t>Erwiderung</w:t>
      </w:r>
      <w:r>
        <w:t>: Der Klimaatlas Berlin ist ein informelles Planungsinstrument ohne normative Verbindlichkeit. Die Planungsbehörde war nicht verpflichtet, eine gesonderte Kaltluftschneisen-Analyse zu beauftragen. Die Berliner Klimaschutzziele werden durch Dachbegrünung und Anpflanzgebot (Festsetzungen H-1 und I) hinreichend berücksichtigt.</w:t>
      </w:r>
    </w:p>
    <w:p>
      <w:pPr>
        <w:jc w:val="left"/>
      </w:pPr>
      <w:r>
        <w:t>Weiter: § 1 Abs. 6 Nr. 7h BauGB enthält keinen Rechtssatz des Inhalts, dass jede Klimafunktionsfläche erhalten werden muss. Der Gesetzgeber hat den Gemeinden einen weiten Planungsermessen eingeräumt; eine Verletzung liegt nur bei offensichtlichem Abwägungsausfall vor, der hier nicht gegeben ist.</w:t>
      </w:r>
    </w:p>
    <w:p>
      <w:pPr>
        <w:jc w:val="left"/>
      </w:pPr>
      <w:r>
        <w:rPr>
          <w:b/>
        </w:rPr>
        <w:t>Antragsgegner verweist auf</w:t>
      </w:r>
      <w:r>
        <w:t>: die Rechtsprechung des BVerwG zur planerischen Gestaltungsfreiheit und zur eingeschränkten gerichtlichen Abwägungskontrolle. Für die Erwiderung soll der Schwerpunkt auf den tatsächlichen Klimaanpassungsmaßnahmen aus Umweltbericht, Begründung und Grünordnungsplan liegen; ein zusätzliches Rechtsprechungszitat wird erst nach Fundstellenprüfung eingefügt.</w:t>
      </w:r>
    </w:p>
    <w:p>
      <w:pPr>
        <w:pStyle w:val="Heading3"/>
      </w:pPr>
      <w:r>
        <w:rPr>
          <w:rFonts w:ascii="Times New Roman" w:hAnsi="Times New Roman"/>
        </w:rPr>
        <w:t>2. Artenschutz Zauneidechse</w:t>
      </w:r>
    </w:p>
    <w:p>
      <w:pPr>
        <w:jc w:val="left"/>
      </w:pPr>
      <w:r>
        <w:rPr>
          <w:b/>
        </w:rPr>
        <w:t>Erwiderung</w:t>
      </w:r>
      <w:r>
        <w:t>: Das Artenschutzgutachten der Grünplan GmbH entspricht dem methodischen Standard für Bebauungsplanverfahren im Land Berlin. Die Unterschreitung der in Methodenpapieren empfohlenen Begehungszahl führt nicht automatisch zur Unwirksamkeit des Gutachtens. Der Gutachter hat im August 2024 bei guten Witterungsbedingungen (Sonnentage, Temperatur über 22 °C) kartiert; dies entspricht dem Optimalzeitraum für die Zauneidechse.</w:t>
      </w:r>
    </w:p>
    <w:p>
      <w:pPr>
        <w:jc w:val="left"/>
      </w:pPr>
      <w:r>
        <w:t>Die CEF-Maßnahme auf der Rummelsburger Heide ist im städtebaulichen Vertrag geregelt und wird durch den Investor finanziert. Die Verpflichtung zur Herstellung „vor Baubeginn" entspricht den Anforderungen des BVerwG (Urt. v. 14.07.2011 — 9 A 12.10), da die Maßnahme vor dem ersten Eingriff in die Fortpflanzungsstätten herzustellen ist.</w:t>
      </w:r>
    </w:p>
    <w:p>
      <w:pPr>
        <w:pStyle w:val="Heading3"/>
      </w:pPr>
      <w:r>
        <w:rPr>
          <w:rFonts w:ascii="Times New Roman" w:hAnsi="Times New Roman"/>
        </w:rPr>
        <w:t>3. Lärmschutz</w:t>
      </w:r>
    </w:p>
    <w:p>
      <w:pPr>
        <w:jc w:val="left"/>
      </w:pPr>
      <w:r>
        <w:rPr>
          <w:b/>
        </w:rPr>
        <w:t>Erwiderung</w:t>
      </w:r>
      <w:r>
        <w:t>: Die schalltechnische Untersuchung der Akustik-Consult basiert auf anerkannten Rechenverfahren (Schall 03, 2014). Für die Bauleitplanung ist nicht die Prognoselösung nach § 3 Schall 03 anzuwenden, da es sich nicht um die Genehmigung der Eisenbahninfrastruktur, sondern um die Planung von Wohnbebauung handelt. Die Orientierungswerte der DIN 18005 sind nicht rechtsverbindlich; ihre Überschreitung ist bei innerstädtischen Lagen abwägbar.</w:t>
      </w:r>
    </w:p>
    <w:p>
      <w:pPr>
        <w:jc w:val="left"/>
      </w:pPr>
      <w:r>
        <w:t>Passiver Schallschutz (Schallschutzklasse 3) ist ein anerkanntes Mittel zur Lärmkonfliktbewältigung (BVerwG, Urt. v. 22.03.2007 — 4 CN 2.06 — a contrario: passiver Schallschutz reicht, wenn gesunde Wohnverhältnisse im Inneren sichergestellt sind).</w:t>
      </w:r>
    </w:p>
    <w:p>
      <w:pPr>
        <w:pStyle w:val="Heading3"/>
      </w:pPr>
      <w:r>
        <w:rPr>
          <w:rFonts w:ascii="Times New Roman" w:hAnsi="Times New Roman"/>
        </w:rPr>
        <w:t>4. Bekanntmachungsmangel Aufstellungsbeschluss</w:t>
      </w:r>
    </w:p>
    <w:p>
      <w:pPr>
        <w:jc w:val="left"/>
      </w:pPr>
      <w:r>
        <w:rPr>
          <w:b/>
        </w:rPr>
        <w:t>Erwiderung</w:t>
      </w:r>
      <w:r>
        <w:t>: Die Bekanntmachung vom 30.08.2022 ist ordnungsgemäß. § 2 Abs. 1 Satz 2 BauGB verlangt nur eine „ortsübliche" Bekanntmachung im Amtsblatt; eine parzellenscharfe Beschreibung oder beigefügte Karte ist nicht vorgeschrieben. Die Bezirkswebseite enthält seit dem 30.08.2022 einen Hinweis auf das Planverfahren.</w:t>
      </w:r>
    </w:p>
    <w:p>
      <w:pPr>
        <w:jc w:val="left"/>
      </w:pPr>
      <w:r>
        <w:t>Die 77-tägige Verzögerung ist nicht rechtswidrig, da § 2 Abs. 1 BauGB keine Frist für die Bekanntmachung normiert.</w:t>
      </w:r>
    </w:p>
    <w:p>
      <w:pPr>
        <w:pStyle w:val="Heading3"/>
      </w:pPr>
      <w:r>
        <w:rPr>
          <w:rFonts w:ascii="Times New Roman" w:hAnsi="Times New Roman"/>
        </w:rPr>
        <w:t>5. Soziale Belange</w:t>
      </w:r>
    </w:p>
    <w:p>
      <w:pPr>
        <w:jc w:val="left"/>
      </w:pPr>
      <w:r>
        <w:rPr>
          <w:b/>
        </w:rPr>
        <w:t>Erwiderung</w:t>
      </w:r>
      <w:r>
        <w:t>: Der 30-%-WBS-Anteil ist ein wirksames Instrument zur Sicherung sozialer Mischung. Eine weitergehende Verdrängungsanalyse war nicht erforderlich, da der B-Plan Neubau und keine Modernisierung bestehenden Bestands betrifft. Ein Verdrängungseffekt durch Neubau widerspricht zudem ökonomischen Grundannahmen (Angebotserweiterung senkt tendenziell den Preisdruck).</w:t>
      </w:r>
    </w:p>
    <w:p/>
    <w:p>
      <w:pPr>
        <w:pStyle w:val="Heading2"/>
      </w:pPr>
      <w:r>
        <w:rPr>
          <w:rFonts w:ascii="Times New Roman" w:hAnsi="Times New Roman"/>
        </w:rPr>
        <w:t>IV. Zum Eilantrag</w:t>
      </w:r>
    </w:p>
    <w:p>
      <w:pPr>
        <w:jc w:val="left"/>
      </w:pPr>
      <w:r>
        <w:t>Der Antragsgegner beantragt, den Eilantrag (§ 47 Abs. 6 VwGO) zurückzuweisen. Schwere Nachteile i.S.d. § 47 Abs. 6 VwGO liegen nicht vor: Die CEF-Maßnahme wird vor Baubeginn hergestellt; die Baufeldräumung kann ökologisch begleitet werden. Der Investor hat ein erhebliches wirtschaftliches Interesse an zügigem Baubeginn (Finanzierungskosten rd. 85.000 EUR/Monat).</w:t>
      </w:r>
    </w:p>
    <w:p>
      <w:pPr>
        <w:jc w:val="left"/>
      </w:pPr>
      <w:r>
        <w:t>Quellen: dejure.org (§ 1 BauGB, § 2 BauGB, § 47 VwGO, § 214 BauGB); BVerwG, Urt. v. 22.03.2007 — 4 CN 2.06 (bundesverwaltungsgericht.de).</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Rechtsanwalt Dr. Bernd Kaster-Mühlenbeck</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F3864"/>
        <w:sz w:val="22"/>
      </w:rPr>
      <w:t>RECHTSANWALT DR. BERND KASTER-MÜHLENBECK</w:t>
    </w:r>
  </w:p>
  <w:p>
    <w:pPr>
      <w:jc w:val="left"/>
      <w:pBdr>
        <w:bottom w:val="single" w:sz="8" w:space="2" w:color="1F3864"/>
      </w:pBdr>
    </w:pPr>
    <w:r>
      <w:rPr>
        <w:rFonts w:ascii="Times New Roman" w:hAnsi="Times New Roman"/>
        <w:color w:val="6B6B66"/>
        <w:sz w:val="16"/>
      </w:rPr>
      <w:t>Referent Rechtsanwalt Dr. Bernd Kaster-Mühlenbeck (Behördenvertreter)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