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05 — BPatG Nichtigkeitsklage 4 Ni 18/26: Analyse und Erwiderungsstrategie</w:t>
      </w:r>
    </w:p>
    <w:p>
      <w:pPr>
        <w:jc w:val="left"/>
      </w:pPr>
      <w:r>
        <w:rPr>
          <w:b/>
        </w:rPr>
        <w:t>Aktenzeichen intern:</w:t>
      </w:r>
      <w:r>
        <w:t xml:space="preserve"> VM-2026-GR-001</w:t>
      </w:r>
    </w:p>
    <w:p>
      <w:pPr>
        <w:jc w:val="left"/>
      </w:pPr>
      <w:r>
        <w:rPr>
          <w:b/>
        </w:rPr>
        <w:t>BPatG-Aktenzeichen:</w:t>
      </w:r>
      <w:r>
        <w:t xml:space="preserve"> 4 Ni 18/26</w:t>
      </w:r>
    </w:p>
    <w:p>
      <w:pPr>
        <w:jc w:val="left"/>
      </w:pPr>
      <w:r>
        <w:rPr>
          <w:b/>
        </w:rPr>
        <w:t>Gericht:</w:t>
      </w:r>
      <w:r>
        <w:t xml:space="preserve"> Bundespatentgericht München, 4. Senat (Nichtigkeitssenat)</w:t>
      </w:r>
    </w:p>
    <w:p>
      <w:pPr>
        <w:jc w:val="left"/>
      </w:pPr>
      <w:r>
        <w:rPr>
          <w:b/>
        </w:rPr>
        <w:t>Kläger (Nichtigkeitsklage):</w:t>
      </w:r>
      <w:r>
        <w:t xml:space="preserve"> Bochstaedt MedSupply OHG, Aalen</w:t>
      </w:r>
    </w:p>
    <w:p>
      <w:pPr>
        <w:jc w:val="left"/>
      </w:pPr>
      <w:r>
        <w:rPr>
          <w:b/>
        </w:rPr>
        <w:t>Beklagter (Patentinhaber):</w:t>
      </w:r>
      <w:r>
        <w:t xml:space="preserve"> Vellbruck Medizintechnik GmbH, Stuttgart-Vaihingen</w:t>
      </w:r>
    </w:p>
    <w:p>
      <w:pPr>
        <w:jc w:val="left"/>
      </w:pPr>
      <w:r>
        <w:rPr>
          <w:b/>
        </w:rPr>
        <w:t>Datum Klagezustellung:</w:t>
      </w:r>
      <w:r>
        <w:t xml:space="preserve"> 20. März 2026</w:t>
      </w:r>
    </w:p>
    <w:p>
      <w:pPr>
        <w:jc w:val="left"/>
      </w:pPr>
      <w:r>
        <w:rPr>
          <w:b/>
        </w:rPr>
        <w:t>Bearbeiter:</w:t>
      </w:r>
      <w:r>
        <w:t xml:space="preserve"> PatAnw. Dr. Rolf Gruhl (Gruhl &amp; Teichmann) / RA Dr. Birkenhainer</w:t>
      </w:r>
    </w:p>
    <w:p/>
    <w:p>
      <w:pPr>
        <w:pStyle w:val="Heading2"/>
      </w:pPr>
      <w:r>
        <w:rPr>
          <w:rFonts w:ascii="Times New Roman" w:hAnsi="Times New Roman"/>
        </w:rPr>
        <w:t>1. Einleitung und strategische Einordnung</w:t>
      </w:r>
    </w:p>
    <w:p>
      <w:pPr>
        <w:jc w:val="left"/>
      </w:pPr>
      <w:r>
        <w:t>Die Erhebung der Nichtigkeitsklage durch Bochstaedt MedSupply OHG am 12. März 2026 — keine drei Wochen nach Zustellung der UPC-Klage ACT_0188/2026 — ist als klassische Verteidigungsstrategie im Patentrecht einzuordnen: Die Beklagte versucht, das verletzte Patent zu vernichten oder zumindest seinen Schutzbereich zu beschränken, um der Unterlassungspflicht zu entgehen (sogenanntes "Torpedoverfahren", vgl. BGH X ZR 43/07 — Tauchcomputer, openjur.de).</w:t>
      </w:r>
    </w:p>
    <w:p>
      <w:pPr>
        <w:jc w:val="left"/>
      </w:pPr>
      <w:r>
        <w:t>Das Bundespatentgericht entscheidet über die Nichtigkeit europäischer Patente mit Wirkung für Deutschland gem. §§ 81 ff. PatG (dejure.org). Das BPatG-Verfahren läuft parallel zum UPC-Verfahren. Dem UPC steht es frei, das Verletzungsverfahren bis zur Entscheidung des BPatG zu suspendieren (Art. 33 Abs. 10 UPCA), was die Klägerin im UPC-Verfahren bekämpfen wird.</w:t>
      </w:r>
    </w:p>
    <w:p/>
    <w:p>
      <w:pPr>
        <w:pStyle w:val="Heading2"/>
      </w:pPr>
      <w:r>
        <w:rPr>
          <w:rFonts w:ascii="Times New Roman" w:hAnsi="Times New Roman"/>
        </w:rPr>
        <w:t>2. Nichtigkeitsgründe laut Klageschrift Bochstaedt</w:t>
      </w:r>
    </w:p>
    <w:p>
      <w:pPr>
        <w:jc w:val="left"/>
      </w:pPr>
      <w:r>
        <w:t>Bochstaedt macht folgende Nichtigkeitsgründe geltend (§ 22 Abs. 1 i.V.m. § 21 Abs. 1 PatG, dejure.org):</w:t>
      </w:r>
    </w:p>
    <w:p>
      <w:pPr>
        <w:pStyle w:val="Heading3"/>
      </w:pPr>
      <w:r>
        <w:rPr>
          <w:rFonts w:ascii="Times New Roman" w:hAnsi="Times New Roman"/>
        </w:rPr>
        <w:t>2.1 Fehlende Neuheit (§ 3 PatG)</w:t>
      </w:r>
    </w:p>
    <w:p>
      <w:pPr>
        <w:jc w:val="left"/>
      </w:pPr>
      <w:r>
        <w:t>Bochstaedt behauptet, der gesamte Anspruch 1 des EP 3 218 922 B1 sei durch folgende Vorveröffentlichungen neuheitsschädlich vorweggenommen:</w:t>
      </w:r>
    </w:p>
    <w:p>
      <w:pPr>
        <w:jc w:val="left"/>
      </w:pPr>
      <w:r>
        <w:rPr>
          <w:b/>
        </w:rPr>
        <w:t>NK1:</w:t>
      </w:r>
      <w:r>
        <w:t xml:space="preserve"> US 8,888,829 B2 (Biomet, Inc., 2014): poröser Titan-Hüftschaft mit Lasersintern. Bochstaedt argumentiert, Merkmal (b) und (c) seien durch die in NK1 beschriebene Porositätsrange 50–70 % und Porengröße 300–700 µm vorweggenommen.</w:t>
      </w:r>
    </w:p>
    <w:p>
      <w:pPr>
        <w:jc w:val="left"/>
      </w:pPr>
      <w:r>
        <w:rPr>
          <w:b/>
        </w:rPr>
        <w:t>Gegenargument Gruhl &amp; Teichmann:</w:t>
      </w:r>
      <w:r>
        <w:t xml:space="preserve"> NK1 offenbart keine Kombination mit distalen Fins (Merkmal d) und keinen Neigungswinkelbereich von 8°–15°. NK1 zeigt glatte distale Schäfte ohne Finstruktur. Neuheitsschädlichkeit nicht gegeben, da mindestens Merkmal (d) fehlt.</w:t>
      </w:r>
    </w:p>
    <w:p>
      <w:pPr>
        <w:jc w:val="left"/>
      </w:pPr>
      <w:r>
        <w:rPr>
          <w:b/>
        </w:rPr>
        <w:t>NK2:</w:t>
      </w:r>
      <w:r>
        <w:t xml:space="preserve"> DE 10 2013 108 456 A1 (Aesculap AG, 2015): Titan-Implantat mit lateralen Rippen. Bochstaedt behauptet, Merkmal (d) sei vorweggenommen.</w:t>
      </w:r>
    </w:p>
    <w:p>
      <w:pPr>
        <w:jc w:val="left"/>
      </w:pPr>
      <w:r>
        <w:rPr>
          <w:b/>
        </w:rPr>
        <w:t>Gegenargument:</w:t>
      </w:r>
      <w:r>
        <w:t xml:space="preserve"> NK2 zeigt Rippen mit einem Neigungswinkel von 20°–30°, also außerhalb des beanspruchten Bereichs von 8°–15°. Die spezifische Winkelangabe ist erfindungswesentlich (vgl. Beschreibung Abs. [0062]–[0068], Beleg für technische Wirkung des Winkelbereichs). Keine Neuheitsschädlichkeit.</w:t>
      </w:r>
    </w:p>
    <w:p>
      <w:pPr>
        <w:pStyle w:val="Heading3"/>
      </w:pPr>
      <w:r>
        <w:rPr>
          <w:rFonts w:ascii="Times New Roman" w:hAnsi="Times New Roman"/>
        </w:rPr>
        <w:t>2.2 Fehlende erfinderische Tätigkeit (§ 4 PatG)</w:t>
      </w:r>
    </w:p>
    <w:p>
      <w:pPr>
        <w:jc w:val="left"/>
      </w:pPr>
      <w:r>
        <w:t>Bochstaedt argumentiert, die Kombination von NK1 (poröser Schaft) und NK2 (Finstruktur) sei für den Fachmann am Prioritätstag (25.08.2016) naheliegend gewesen.</w:t>
      </w:r>
    </w:p>
    <w:p>
      <w:pPr>
        <w:jc w:val="left"/>
      </w:pPr>
      <w:r>
        <w:rPr>
          <w:b/>
        </w:rPr>
        <w:t>Gegenargument (Problem-Lösungs-Ansatz, EPA-Methode):</w:t>
      </w:r>
    </w:p>
    <w:p>
      <w:pPr>
        <w:pStyle w:val="ListNumber"/>
      </w:pPr>
      <w:r>
        <w:rPr>
          <w:b/>
        </w:rPr>
        <w:t>Nächster Stand der Technik:</w:t>
      </w:r>
      <w:r>
        <w:t xml:space="preserve"> NK1 (poröser Schaft ohne Fins).</w:t>
      </w:r>
    </w:p>
    <w:p>
      <w:pPr>
        <w:pStyle w:val="ListNumber"/>
      </w:pPr>
      <w:r>
        <w:rPr>
          <w:b/>
        </w:rPr>
        <w:t>Technisches Problem:</w:t>
      </w:r>
      <w:r>
        <w:t xml:space="preserve"> Verbesserung der Primärstabilität bei zementfreier Implantation ohne Beeinträchtigung der Osteointegration.</w:t>
      </w:r>
    </w:p>
    <w:p>
      <w:pPr>
        <w:pStyle w:val="ListNumber"/>
      </w:pPr>
      <w:r>
        <w:rPr>
          <w:b/>
        </w:rPr>
        <w:t>Lösung durch die Erfindung:</w:t>
      </w:r>
      <w:r>
        <w:t xml:space="preserve"> Spezifische Fins mit 8°–15°-Winkel in Kombination mit poröser Oberfläche.</w:t>
      </w:r>
    </w:p>
    <w:p>
      <w:pPr>
        <w:pStyle w:val="ListNumber"/>
      </w:pPr>
      <w:r>
        <w:rPr>
          <w:b/>
        </w:rPr>
        <w:t>Naheliegen:</w:t>
      </w:r>
      <w:r>
        <w:t xml:space="preserve"> NK2 zeigt zwar Fins, aber mit anderem Winkelbereich und ohne poröse Oberfläche. Eine Kombination von NK1 und NK2 würde den Fachmann nicht zum beanspruchten Gegenstand führen, da die Winkelauswahl (8°–15°) auf einer spezifischen biomechanischen Analyse basiert, die in NK1 und NK2 nicht offenbart ist.</w:t>
      </w:r>
    </w:p>
    <w:p>
      <w:pPr>
        <w:jc w:val="left"/>
      </w:pPr>
      <w:r>
        <w:rPr>
          <w:b/>
        </w:rPr>
        <w:t>Zusätzliches Argument:</w:t>
      </w:r>
      <w:r>
        <w:t xml:space="preserve"> Die im Erteilungsverfahren eingereichten Versuchsdaten (Anlage Gruhl-01: EPA-Prüfungsakte, Versuchsberichte Vellbruck 2017) belegen einen überraschenden technischen Effekt (signifikant verbesserte Knochenintegration bei 8°–15°-Fins vs. Fins außerhalb dieses Bereichs), der das Naheliegen widerlegt (vgl. EPA-Richtlinie G-VII 10.3).</w:t>
      </w:r>
    </w:p>
    <w:p>
      <w:pPr>
        <w:pStyle w:val="Heading3"/>
      </w:pPr>
      <w:r>
        <w:rPr>
          <w:rFonts w:ascii="Times New Roman" w:hAnsi="Times New Roman"/>
        </w:rPr>
        <w:t>2.3 Unzulässige Erweiterung (§ 38 PatG) — Hilfsargument Bochstaedt</w:t>
      </w:r>
    </w:p>
    <w:p>
      <w:pPr>
        <w:jc w:val="left"/>
      </w:pPr>
      <w:r>
        <w:t>Bochstaedt behauptet, Merkmal (c) (Porengröße 400–600 µm) gehe über die ursprüngliche Offenbarung hinaus, da in der Anmeldung (WO 2017/032 187) lediglich ein Bereich von 300–700 µm offenbart worden sei.</w:t>
      </w:r>
    </w:p>
    <w:p>
      <w:pPr>
        <w:jc w:val="left"/>
      </w:pPr>
      <w:r>
        <w:rPr>
          <w:b/>
        </w:rPr>
        <w:t>Gegenargument:</w:t>
      </w:r>
      <w:r>
        <w:t xml:space="preserve"> Die ursprüngliche Beschreibung (Abs. [0044] WO 2017/032 187, Anlage Gruhl-02) offenbart 400–600 µm als bevorzugten Teilbereich innerhalb 300–700 µm. Die Beschränkung auf den bevorzugten Bereich stellt keine unzulässige Erweiterung dar (BGH X ZR 17/05 — Schaftkappe, openjur.de). Das Argument greift nicht.</w:t>
      </w:r>
    </w:p>
    <w:p/>
    <w:p>
      <w:pPr>
        <w:pStyle w:val="Heading2"/>
      </w:pPr>
      <w:r>
        <w:rPr>
          <w:rFonts w:ascii="Times New Roman" w:hAnsi="Times New Roman"/>
        </w:rPr>
        <w:t>3. Formales BPatG-Verfahren</w:t>
      </w:r>
    </w:p>
    <w:p>
      <w:pPr>
        <w:pStyle w:val="Heading3"/>
      </w:pPr>
      <w:r>
        <w:rPr>
          <w:rFonts w:ascii="Times New Roman" w:hAnsi="Times New Roman"/>
        </w:rPr>
        <w:t>3.1 Fristen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Schritt</w:t>
            </w:r>
          </w:p>
        </w:tc>
      </w:tr>
      <w:tr>
        <w:tc>
          <w:tcPr>
            <w:tcW w:type="dxa" w:w="4536"/>
          </w:tcPr>
          <w:p>
            <w:r>
              <w:rPr>
                <w:rFonts w:ascii="Times New Roman" w:hAnsi="Times New Roman"/>
                <w:sz w:val="20"/>
              </w:rPr>
              <w:t>12.03.2026</w:t>
            </w:r>
          </w:p>
        </w:tc>
        <w:tc>
          <w:tcPr>
            <w:tcW w:type="dxa" w:w="4536"/>
          </w:tcPr>
          <w:p>
            <w:r>
              <w:rPr>
                <w:rFonts w:ascii="Times New Roman" w:hAnsi="Times New Roman"/>
                <w:sz w:val="20"/>
              </w:rPr>
              <w:t>Einreichung Nichtigkeitsklage Bochstaedt</w:t>
            </w:r>
          </w:p>
        </w:tc>
      </w:tr>
      <w:tr>
        <w:tc>
          <w:tcPr>
            <w:tcW w:type="dxa" w:w="4536"/>
          </w:tcPr>
          <w:p>
            <w:r>
              <w:rPr>
                <w:rFonts w:ascii="Times New Roman" w:hAnsi="Times New Roman"/>
                <w:sz w:val="20"/>
              </w:rPr>
              <w:t>20.03.2026</w:t>
            </w:r>
          </w:p>
        </w:tc>
        <w:tc>
          <w:tcPr>
            <w:tcW w:type="dxa" w:w="4536"/>
          </w:tcPr>
          <w:p>
            <w:r>
              <w:rPr>
                <w:rFonts w:ascii="Times New Roman" w:hAnsi="Times New Roman"/>
                <w:sz w:val="20"/>
              </w:rPr>
              <w:t>Zustellung an Vellbruck (RA Dr. Birkenhainer)</w:t>
            </w:r>
          </w:p>
        </w:tc>
      </w:tr>
      <w:tr>
        <w:tc>
          <w:tcPr>
            <w:tcW w:type="dxa" w:w="4536"/>
          </w:tcPr>
          <w:p>
            <w:r>
              <w:rPr>
                <w:rFonts w:ascii="Times New Roman" w:hAnsi="Times New Roman"/>
                <w:sz w:val="20"/>
              </w:rPr>
              <w:t>20.06.2026</w:t>
            </w:r>
          </w:p>
        </w:tc>
        <w:tc>
          <w:tcPr>
            <w:tcW w:type="dxa" w:w="4536"/>
          </w:tcPr>
          <w:p>
            <w:r>
              <w:rPr>
                <w:rFonts w:ascii="Times New Roman" w:hAnsi="Times New Roman"/>
                <w:sz w:val="20"/>
              </w:rPr>
              <w:t>Klageerwiderung Patentinhaber (§ 84 Abs. 1 PatG: 3-Monatsfrist)</w:t>
            </w:r>
          </w:p>
        </w:tc>
      </w:tr>
      <w:tr>
        <w:tc>
          <w:tcPr>
            <w:tcW w:type="dxa" w:w="4536"/>
          </w:tcPr>
          <w:p>
            <w:r>
              <w:rPr>
                <w:rFonts w:ascii="Times New Roman" w:hAnsi="Times New Roman"/>
                <w:sz w:val="20"/>
              </w:rPr>
              <w:t>Q3 2026</w:t>
            </w:r>
          </w:p>
        </w:tc>
        <w:tc>
          <w:tcPr>
            <w:tcW w:type="dxa" w:w="4536"/>
          </w:tcPr>
          <w:p>
            <w:r>
              <w:rPr>
                <w:rFonts w:ascii="Times New Roman" w:hAnsi="Times New Roman"/>
                <w:sz w:val="20"/>
              </w:rPr>
              <w:t>Terminsbestimmung BPatG (erfahrungsgemäß 12–18 Monate nach Eingang)</w:t>
            </w:r>
          </w:p>
        </w:tc>
      </w:tr>
      <w:tr>
        <w:tc>
          <w:tcPr>
            <w:tcW w:type="dxa" w:w="4536"/>
          </w:tcPr>
          <w:p>
            <w:r>
              <w:rPr>
                <w:rFonts w:ascii="Times New Roman" w:hAnsi="Times New Roman"/>
                <w:sz w:val="20"/>
              </w:rPr>
              <w:t>Q1 2028</w:t>
            </w:r>
          </w:p>
        </w:tc>
        <w:tc>
          <w:tcPr>
            <w:tcW w:type="dxa" w:w="4536"/>
          </w:tcPr>
          <w:p>
            <w:r>
              <w:rPr>
                <w:rFonts w:ascii="Times New Roman" w:hAnsi="Times New Roman"/>
                <w:sz w:val="20"/>
              </w:rPr>
              <w:t>Mündliche Verhandlung (Prognose)</w:t>
            </w:r>
          </w:p>
        </w:tc>
      </w:tr>
    </w:tbl>
    <w:p>
      <w:pPr>
        <w:pStyle w:val="Heading3"/>
      </w:pPr>
      <w:r>
        <w:rPr>
          <w:rFonts w:ascii="Times New Roman" w:hAnsi="Times New Roman"/>
        </w:rPr>
        <w:t>3.2 Hilfsanträge</w:t>
      </w:r>
    </w:p>
    <w:p>
      <w:pPr>
        <w:jc w:val="left"/>
      </w:pPr>
      <w:r>
        <w:t>Die Klageerwiderung wird neben der Verteidigung des Patents in erteilter Fassung hilfsweise beschränkte Fassungen (Hilfsantrag 1–5) enthalten, um das Risiko eines vollständigen Widerrufs zu minimieren. Hilfsantrag 1 fügt Merkmal des Unteranspruchs 4 (drei Fins) in den Hauptanspruch ein; Hilfsantrag 2 präzisiert Merkmal (d) auf Neigungswinkel 10°–13°.</w:t>
      </w:r>
    </w:p>
    <w:p/>
    <w:p>
      <w:pPr>
        <w:pStyle w:val="Heading2"/>
      </w:pPr>
      <w:r>
        <w:rPr>
          <w:rFonts w:ascii="Times New Roman" w:hAnsi="Times New Roman"/>
        </w:rPr>
        <w:t>4. Wechselwirkung mit dem UPC-Verfahren</w:t>
      </w:r>
    </w:p>
    <w:p>
      <w:pPr>
        <w:jc w:val="left"/>
      </w:pPr>
      <w:r>
        <w:t>Der UPC kann gem. Art. 33 Abs. 10 UPCA das Verletzungsverfahren bei "Bedenken hinsichtlich der Nichtigkeit" bis zur Entscheidung des BPatG aussetzen. Die Klägerin wird im UPC beantragen, das Verfahren fortzusetzen und keiner Aussetzung zuzustimmen, mit der Begründung:</w:t>
      </w:r>
    </w:p>
    <w:p>
      <w:pPr>
        <w:pStyle w:val="ListNumber"/>
      </w:pPr>
      <w:r>
        <w:t>Die Nichtigkeitsklage Bochstaedt enthält keine prima facie starken Argumente (vgl. Analyse oben).</w:t>
      </w:r>
    </w:p>
    <w:p>
      <w:pPr>
        <w:pStyle w:val="ListNumber"/>
      </w:pPr>
      <w:r>
        <w:t>Die Klägerin hat ein legitimes Interesse an einer raschen Durchsetzung (weitere Marktschädigung).</w:t>
      </w:r>
    </w:p>
    <w:p>
      <w:pPr>
        <w:pStyle w:val="ListNumber"/>
      </w:pPr>
      <w:r>
        <w:t>Der UPC verfügt gem. Art. 65 UPCA über die Befugnis, im Rahmen des Verletzungsverfahrens selbst über die Nichtigkeit zu befinden (sofern der beklagte Patentinhaber die Verteidigung übernimmt, also die Beklagtenseite).</w:t>
      </w:r>
    </w:p>
    <w:p>
      <w:pPr>
        <w:jc w:val="left"/>
      </w:pPr>
      <w:r>
        <w:t>Im Ergebnis wird eine Aussetzung des UPC-Verfahrens vermutlich abgelehnt werden, da die Nichtigkeitsklage nach bisheriger Analyse keine überwiegende Erfolgswahrscheinlichkeit aufweist.</w:t>
      </w:r>
    </w:p>
    <w:p/>
    <w:p>
      <w:pPr>
        <w:pStyle w:val="Heading2"/>
      </w:pPr>
      <w:r>
        <w:rPr>
          <w:rFonts w:ascii="Times New Roman" w:hAnsi="Times New Roman"/>
        </w:rPr>
        <w:t>5. Kosten BPatG-Verfahren</w:t>
      </w:r>
    </w:p>
    <w:p>
      <w:pPr>
        <w:jc w:val="left"/>
      </w:pPr>
      <w:r>
        <w:t>Streitwert BPatG: 1.500.000 EUR (Regelwert bei wichtigem gewerblichen Patent mit hohem Umsatzvolumen, vgl. BPatG-Praxis). Gerichtsgebühren BPatG: ca. 6.000 EUR (Anlage V PatKostG). Anwaltsgebühren Gruhl &amp; Teichmann: nach Stundenhonorar ca. 35.000–50.000 EUR für die Klageerwiderung. Gesamtprozessrisiko BPatG-Verfahren (worst case, vollständiger Widerruf): Wegfall aller Unterlassungs- und Schadensersatzansprüche in Deutschland.</w:t>
      </w:r>
    </w:p>
    <w:p/>
    <w:p>
      <w:pPr>
        <w:jc w:val="left"/>
      </w:pPr>
      <w:r>
        <w:rPr>
          <w:i/>
        </w:rPr>
        <w:t>Quellen: §§ 81 ff. PatG (dejure.org); § 3 PatG (dejure.org); § 4 PatG (dejure.org); § 22 PatG (dejure.org); § 38 PatG (dejure.org); BGH X ZR 43/07 (openjur.de); BGH X ZR 17/05 (openjur.de); Art. 33 Abs. 10 UPCA (EUR-Lex).</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Gericht: Bundespatentgericht München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Gericht: Bundespatentgericht München</w:t>
    </w:r>
  </w:p>
  <w:p>
    <w:pPr>
      <w:jc w:val="left"/>
      <w:pBdr>
        <w:bottom w:val="single" w:sz="6" w:space="2" w:color="3B3F45"/>
      </w:pBdr>
    </w:pPr>
    <w:r>
      <w:rPr>
        <w:rFonts w:ascii="Times New Roman" w:hAnsi="Times New Roman"/>
        <w:color w:val="6B6B66"/>
        <w:sz w:val="16"/>
      </w:rPr>
      <w:t>4. Senat (Nichtigkeitssenat) · 4 Ni 18/26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