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Einstweilige Verfügung nach Art. 62 UPCA vor der UPC Lokalkammer Düsseldorf</w:t>
      </w:r>
    </w:p>
    <w:p>
      <w:pPr>
        <w:jc w:val="left"/>
      </w:pPr>
      <w:r>
        <w:rPr>
          <w:b/>
        </w:rPr>
        <w:t>Aktenzeichen intern:</w:t>
      </w:r>
      <w:r>
        <w:t xml:space="preserve"> VM-2026-GR-001</w:t>
      </w:r>
    </w:p>
    <w:p>
      <w:pPr>
        <w:jc w:val="left"/>
      </w:pPr>
      <w:r>
        <w:rPr>
          <w:b/>
        </w:rPr>
        <w:t>UPC-Aktenzeichen EV:</w:t>
      </w:r>
      <w:r>
        <w:t xml:space="preserve"> EVF_0044/2026</w:t>
      </w:r>
    </w:p>
    <w:p>
      <w:pPr>
        <w:jc w:val="left"/>
      </w:pPr>
      <w:r>
        <w:rPr>
          <w:b/>
        </w:rPr>
        <w:t>Gericht:</w:t>
      </w:r>
      <w:r>
        <w:t xml:space="preserve"> UPC Lokale Kammer Düsseldorf</w:t>
      </w:r>
    </w:p>
    <w:p>
      <w:pPr>
        <w:jc w:val="left"/>
      </w:pPr>
      <w:r>
        <w:rPr>
          <w:b/>
        </w:rPr>
        <w:t>Datum Antragstellung:</w:t>
      </w:r>
      <w:r>
        <w:t xml:space="preserve"> 01. März 2026</w:t>
      </w:r>
    </w:p>
    <w:p>
      <w:pPr>
        <w:jc w:val="left"/>
      </w:pPr>
      <w:r>
        <w:rPr>
          <w:b/>
        </w:rPr>
        <w:t>Bearbeiter:</w:t>
      </w:r>
      <w:r>
        <w:t xml:space="preserve"> RA Dr. Rademakers (Rademakers IP) / RA Dr. Birkenhainer</w:t>
      </w:r>
    </w:p>
    <w:p/>
    <w:p>
      <w:pPr>
        <w:pStyle w:val="Heading2"/>
      </w:pPr>
      <w:r>
        <w:rPr>
          <w:rFonts w:ascii="Times New Roman" w:hAnsi="Times New Roman"/>
        </w:rPr>
        <w:t>1. Grundlage und Zulässigkeit</w:t>
      </w:r>
    </w:p>
    <w:p>
      <w:pPr>
        <w:pStyle w:val="Heading3"/>
      </w:pPr>
      <w:r>
        <w:rPr>
          <w:rFonts w:ascii="Times New Roman" w:hAnsi="Times New Roman"/>
        </w:rPr>
        <w:t>1.1 Rechtsgrundlage</w:t>
      </w:r>
    </w:p>
    <w:p>
      <w:pPr>
        <w:jc w:val="left"/>
      </w:pPr>
      <w:r>
        <w:t>Art. 62 UPCA ermächtigt den UPC, einstweilige Maßnahmen anzuordnen, die "schnell und effektiv" sind, um eine drohende Patentverletzung zu verhindern. Art. 62 Abs. 1 UPCA bestimmt, dass der UPC eine einstweilige Maßnahme (provisional injunction) gegen einen mutmaßlichen Verletzer anordnen kann, bevor eine Entscheidung in der Sache ergangen ist. Anwendbar ist zudem Regel 209 ff. UPC Rules of Procedure (EUR-Lex).</w:t>
      </w:r>
    </w:p>
    <w:p>
      <w:pPr>
        <w:jc w:val="left"/>
      </w:pPr>
      <w:r>
        <w:t>Nationale Ergänzungsgrundlage: Art. 62 Abs. 5 UPCA i.V.m. § 940 ZPO (Dringlichkeit als Verfügungsgrund, dejure.org).</w:t>
      </w:r>
    </w:p>
    <w:p>
      <w:pPr>
        <w:pStyle w:val="Heading3"/>
      </w:pPr>
      <w:r>
        <w:rPr>
          <w:rFonts w:ascii="Times New Roman" w:hAnsi="Times New Roman"/>
        </w:rPr>
        <w:t>1.2 Voraussetzungen nach UPC-Rechtsprechung</w:t>
      </w:r>
    </w:p>
    <w:p>
      <w:pPr>
        <w:jc w:val="left"/>
      </w:pPr>
      <w:r>
        <w:t>Die Lokale Kammer Düsseldorf hat in frühen Verfahren seit 2023 folgende Anforderungen für einstweilige Verfügungen nach Art. 62 UPCA etabliert (vgl. UPC Lokale Kammer Düsseldorf, EVF_0011/2023, Beschluss vom 30.08.2023 — Medizinprodukte-Konstellation):</w:t>
      </w:r>
    </w:p>
    <w:p>
      <w:pPr>
        <w:pStyle w:val="ListNumber"/>
      </w:pPr>
      <w:r>
        <w:rPr>
          <w:b/>
        </w:rPr>
        <w:t>Verfügungsanspruch:</w:t>
      </w:r>
      <w:r>
        <w:t xml:space="preserve"> Glaubhaftmachung der Patentverletzung (prima facie Verletzung)</w:t>
      </w:r>
    </w:p>
    <w:p>
      <w:pPr>
        <w:pStyle w:val="ListNumber"/>
      </w:pPr>
      <w:r>
        <w:rPr>
          <w:b/>
        </w:rPr>
        <w:t>Gültigkeit des Patents:</w:t>
      </w:r>
      <w:r>
        <w:t xml:space="preserve"> Prima facie Gültigkeit des verletzten Patents</w:t>
      </w:r>
    </w:p>
    <w:p>
      <w:pPr>
        <w:pStyle w:val="ListNumber"/>
      </w:pPr>
      <w:r>
        <w:rPr>
          <w:b/>
        </w:rPr>
        <w:t>Dringlichkeit (Verfügungsgrund):</w:t>
      </w:r>
      <w:r>
        <w:t xml:space="preserve"> Drohende oder bereits eingetretene irreparable Schäden, die durch eine spätere Hauptsacheentscheidung nicht vollständig kompensierbar sind</w:t>
      </w:r>
    </w:p>
    <w:p>
      <w:pPr>
        <w:pStyle w:val="ListNumber"/>
      </w:pPr>
      <w:r>
        <w:rPr>
          <w:b/>
        </w:rPr>
        <w:t>Interessenabwägung:</w:t>
      </w:r>
      <w:r>
        <w:t xml:space="preserve"> Die Interessen des Antragstellers überwiegen die Interessen des Antragsgegners</w:t>
      </w:r>
    </w:p>
    <w:p/>
    <w:p>
      <w:pPr>
        <w:pStyle w:val="Heading2"/>
      </w:pPr>
      <w:r>
        <w:rPr>
          <w:rFonts w:ascii="Times New Roman" w:hAnsi="Times New Roman"/>
        </w:rPr>
        <w:t>2. Verfügungsanspruch: Glaubhaftmachung der Verletzung</w:t>
      </w:r>
    </w:p>
    <w:p>
      <w:pPr>
        <w:jc w:val="left"/>
      </w:pPr>
      <w:r>
        <w:t>Die Glaubhaftmachung stützt sich auf:</w:t>
      </w:r>
    </w:p>
    <w:p>
      <w:pPr>
        <w:pStyle w:val="ListBullet"/>
      </w:pPr>
      <w:r>
        <w:t>Den Claim Chart (Merkmalsanalyse, Aktenstück 03) — alle fünf Merkmale des Anspruchs 1 EP 3 218 922 B1 wortsinngemäß verwirklicht</w:t>
      </w:r>
    </w:p>
    <w:p>
      <w:pPr>
        <w:pStyle w:val="ListBullet"/>
      </w:pPr>
      <w:r>
        <w:t>CE-Technische Dokumentation TitanFlex Pro (Anlage A-05)</w:t>
      </w:r>
    </w:p>
    <w:p>
      <w:pPr>
        <w:pStyle w:val="ListBullet"/>
      </w:pPr>
      <w:r>
        <w:t>µ-CT-Analyse des Fraunhofer-Institut für Fertigungstechnik, Erlangen (Anlage A-07): Messung Porosität 68–72 %, Porengröße 485 µm</w:t>
      </w:r>
    </w:p>
    <w:p>
      <w:pPr>
        <w:pStyle w:val="ListBullet"/>
      </w:pPr>
      <w:r>
        <w:t>Eidesstattliche Versicherung Dipl.-Ing. Reisemann (Vellbruck) zur Verletzungsfeststellung</w:t>
      </w:r>
    </w:p>
    <w:p>
      <w:pPr>
        <w:jc w:val="left"/>
      </w:pPr>
      <w:r>
        <w:t>Risiko: Die Beklagten könnten einwenden, das Patent sei von vornherein nichtig (Nichtigkeitsklage BPatG). Die UPC-Kammer prüft im Eilverfahren, ob die Nichtigkeitsargumente prima facie stichhaltig sind. Nach Analyse (Aktenstück 05) sind die Nichtigkeitsargumente Bochstaedt nicht prima facie überzeugend.</w:t>
      </w:r>
    </w:p>
    <w:p/>
    <w:p>
      <w:pPr>
        <w:pStyle w:val="Heading2"/>
      </w:pPr>
      <w:r>
        <w:rPr>
          <w:rFonts w:ascii="Times New Roman" w:hAnsi="Times New Roman"/>
        </w:rPr>
        <w:t>3. Verfügungsgrund: Dringlichkeit und Schadensrisiko</w:t>
      </w:r>
    </w:p>
    <w:p>
      <w:pPr>
        <w:pStyle w:val="Heading3"/>
      </w:pPr>
      <w:r>
        <w:rPr>
          <w:rFonts w:ascii="Times New Roman" w:hAnsi="Times New Roman"/>
        </w:rPr>
        <w:t>3.1 Marktschadenanalyse</w:t>
      </w:r>
    </w:p>
    <w:p>
      <w:pPr>
        <w:jc w:val="left"/>
      </w:pPr>
      <w:r>
        <w:t>Seit Q4 2024 verliert die Mandantin nachweislich Marktanteile an TitanFlex Pro:</w:t>
      </w:r>
    </w:p>
    <w:p>
      <w:pPr>
        <w:pStyle w:val="ListBullet"/>
      </w:pPr>
      <w:r>
        <w:t>Universitätsklinikum Heidelberg: Jahresrahmenvertrag für 2026 mit Bochstaedt zu 1.950 EUR/Einheit abgeschlossen (statt bisherigem Vellbruck-Preis 2.800 EUR/Einheit; Informationsquelle: Gespräch Dr. Bergmann mit Dr. Sonnleitner, Anlage A-20)</w:t>
      </w:r>
    </w:p>
    <w:p>
      <w:pPr>
        <w:pStyle w:val="ListBullet"/>
      </w:pPr>
      <w:r>
        <w:t>Krankenhaus der Barmherzigen Brüder Regensburg: Probelieferung TitanFlex Pro Februar 2026 (10 Stück)</w:t>
      </w:r>
    </w:p>
    <w:p>
      <w:pPr>
        <w:pStyle w:val="ListBullet"/>
      </w:pPr>
      <w:r>
        <w:t>Schätzung der Mandantin: Verlust von ca. 180 Implantationsaufträgen in Q1 2026 entspricht ca. 504.000 EUR entgangenem Umsatz</w:t>
      </w:r>
    </w:p>
    <w:p>
      <w:pPr>
        <w:pStyle w:val="Heading3"/>
      </w:pPr>
      <w:r>
        <w:rPr>
          <w:rFonts w:ascii="Times New Roman" w:hAnsi="Times New Roman"/>
        </w:rPr>
        <w:t>3.2 Irreparabilität</w:t>
      </w:r>
    </w:p>
    <w:p>
      <w:pPr>
        <w:jc w:val="left"/>
      </w:pPr>
      <w:r>
        <w:t>Der Verlust von Krankenhausvertragsbeziehungen ist schwer reparabel, da Kliniken bei Zufriedenheit mit einem Produkt typischerweise langfristig loyal bleiben. Wenn TitanFlex Pro erst einmal in klinischen Protokollen als Standard aufgenommen ist (klinische Evaluation abgeschlossen, Operationsabläufe angepasst), ist der Wechsel zurück zu Vellbruck mit erheblichem Aufwand verbunden. Dies begründet einen nicht-monetären, kaum reparablen Schaden.</w:t>
      </w:r>
    </w:p>
    <w:p/>
    <w:p>
      <w:pPr>
        <w:pStyle w:val="Heading2"/>
      </w:pPr>
      <w:r>
        <w:rPr>
          <w:rFonts w:ascii="Times New Roman" w:hAnsi="Times New Roman"/>
        </w:rPr>
        <w:t>4. Interessenabwägung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Interesse Antragstellerin (Vellbruck)</w:t>
            </w:r>
          </w:p>
        </w:tc>
        <w:tc>
          <w:tcPr>
            <w:tcW w:type="dxa" w:w="4536"/>
          </w:tcPr>
          <w:p>
            <w:r>
              <w:rPr>
                <w:rFonts w:ascii="Times New Roman" w:hAnsi="Times New Roman"/>
                <w:b/>
                <w:sz w:val="20"/>
              </w:rPr>
              <w:t>Interesse Antragsgegner</w:t>
            </w:r>
          </w:p>
        </w:tc>
      </w:tr>
      <w:tr>
        <w:tc>
          <w:tcPr>
            <w:tcW w:type="dxa" w:w="4536"/>
          </w:tcPr>
          <w:p>
            <w:r>
              <w:rPr>
                <w:rFonts w:ascii="Times New Roman" w:hAnsi="Times New Roman"/>
                <w:sz w:val="20"/>
              </w:rPr>
              <w:t>Schutz des Patents (18 Jahre Entwicklung)</w:t>
            </w:r>
          </w:p>
        </w:tc>
        <w:tc>
          <w:tcPr>
            <w:tcW w:type="dxa" w:w="4536"/>
          </w:tcPr>
          <w:p>
            <w:r>
              <w:rPr>
                <w:rFonts w:ascii="Times New Roman" w:hAnsi="Times New Roman"/>
                <w:sz w:val="20"/>
              </w:rPr>
              <w:t>Verlust von Verkäufen im EV-Zeitraum</w:t>
            </w:r>
          </w:p>
        </w:tc>
      </w:tr>
      <w:tr>
        <w:tc>
          <w:tcPr>
            <w:tcW w:type="dxa" w:w="4536"/>
          </w:tcPr>
          <w:p>
            <w:r>
              <w:rPr>
                <w:rFonts w:ascii="Times New Roman" w:hAnsi="Times New Roman"/>
                <w:sz w:val="20"/>
              </w:rPr>
              <w:t>Vermeidung von Marktanteilsverlusten</w:t>
            </w:r>
          </w:p>
        </w:tc>
        <w:tc>
          <w:tcPr>
            <w:tcW w:type="dxa" w:w="4536"/>
          </w:tcPr>
          <w:p>
            <w:r>
              <w:rPr>
                <w:rFonts w:ascii="Times New Roman" w:hAnsi="Times New Roman"/>
                <w:sz w:val="20"/>
              </w:rPr>
              <w:t>Bochstaedt: Lagerhaltungskosten für zurückgehaltene Ware</w:t>
            </w:r>
          </w:p>
        </w:tc>
      </w:tr>
      <w:tr>
        <w:tc>
          <w:tcPr>
            <w:tcW w:type="dxa" w:w="4536"/>
          </w:tcPr>
          <w:p>
            <w:r>
              <w:rPr>
                <w:rFonts w:ascii="Times New Roman" w:hAnsi="Times New Roman"/>
                <w:sz w:val="20"/>
              </w:rPr>
              <w:t>Schutz des Markenwerts TITANFLEX</w:t>
            </w:r>
          </w:p>
        </w:tc>
        <w:tc>
          <w:tcPr>
            <w:tcW w:type="dxa" w:w="4536"/>
          </w:tcPr>
          <w:p>
            <w:r>
              <w:rPr>
                <w:rFonts w:ascii="Times New Roman" w:hAnsi="Times New Roman"/>
                <w:sz w:val="20"/>
              </w:rPr>
              <w:t>TitanOrtho: Produktions-Unterbrechung</w:t>
            </w:r>
          </w:p>
        </w:tc>
      </w:tr>
      <w:tr>
        <w:tc>
          <w:tcPr>
            <w:tcW w:type="dxa" w:w="4536"/>
          </w:tcPr>
          <w:p>
            <w:r>
              <w:rPr>
                <w:rFonts w:ascii="Times New Roman" w:hAnsi="Times New Roman"/>
                <w:sz w:val="20"/>
              </w:rPr>
              <w:t>Schutz von 320 Arbeitsplätzen bei Vellbruck</w:t>
            </w:r>
          </w:p>
        </w:tc>
        <w:tc>
          <w:tcPr>
            <w:tcW w:type="dxa" w:w="4536"/>
          </w:tcPr>
          <w:p>
            <w:r>
              <w:rPr>
                <w:rFonts w:ascii="Times New Roman" w:hAnsi="Times New Roman"/>
                <w:sz w:val="20"/>
              </w:rPr>
              <w:t>—</w:t>
            </w:r>
          </w:p>
        </w:tc>
      </w:tr>
    </w:tbl>
    <w:p>
      <w:pPr>
        <w:jc w:val="left"/>
      </w:pPr>
      <w:r>
        <w:t>Die Interessenabwägung fällt zugunsten der Antragstellerin aus: Schutzwürdige Interessen überwiegen erheblich. Die Beklagten haben den deutschen Markt erst seit Q4 2024 erschlossen; ein vorübergehender Verkaufsstopp ist nicht existenzbedrohend.</w:t>
      </w:r>
    </w:p>
    <w:p/>
    <w:p>
      <w:pPr>
        <w:pStyle w:val="Heading2"/>
      </w:pPr>
      <w:r>
        <w:rPr>
          <w:rFonts w:ascii="Times New Roman" w:hAnsi="Times New Roman"/>
        </w:rPr>
        <w:t>5. Antrag im Detail und Vollziehungssicherung</w:t>
      </w:r>
    </w:p>
    <w:p>
      <w:pPr>
        <w:pStyle w:val="Heading3"/>
      </w:pPr>
      <w:r>
        <w:rPr>
          <w:rFonts w:ascii="Times New Roman" w:hAnsi="Times New Roman"/>
        </w:rPr>
        <w:t>5.1 Anträge</w:t>
      </w:r>
    </w:p>
    <w:p>
      <w:pPr>
        <w:jc w:val="left"/>
      </w:pPr>
      <w:r>
        <w:rPr>
          <w:b/>
        </w:rPr>
        <w:t>Antrag:</w:t>
      </w:r>
    </w:p>
    <w:p>
      <w:pPr>
        <w:jc w:val="left"/>
      </w:pPr>
      <w:r>
        <w:t>Der Antragsgegnerin zu 1 (TitanOrtho Sp. z o.o.) und der Antragsgegnerin zu 2 (Bochstaedt MedSupply OHG) wird im Wege der einstweiligen Verfügung — ohne mündliche Verhandlung — aufgegeben, es zu unterlassen, Hüftimplantat-Schäfte, die die Merkmale (a) bis (e) des Anspruchs 1 des EP 3 218 922 B1 aufweisen, insbesondere das Produkt "TitanFlex Pro" in EU-Mitgliedstaaten anzubieten, in Verkehr zu bringen, zu gebrauchen oder zu diesen Zwecken einzuführen oder zu besitzen, jeweils bei Meidung eines Ordnungsgeldes von bis zu 250.000 EUR je Zuwiderhandlung oder Ordnungshaft.</w:t>
      </w:r>
    </w:p>
    <w:p>
      <w:pPr>
        <w:pStyle w:val="Heading3"/>
      </w:pPr>
      <w:r>
        <w:rPr>
          <w:rFonts w:ascii="Times New Roman" w:hAnsi="Times New Roman"/>
        </w:rPr>
        <w:t>5.2 Vollziehungssicherung</w:t>
      </w:r>
    </w:p>
    <w:p>
      <w:pPr>
        <w:jc w:val="left"/>
      </w:pPr>
      <w:r>
        <w:t>Die Antragstellerin bietet eine Sicherheitsleistung i.H.v. 800.000 EUR an (Bankbürgschaft Landesbank Baden-Württemberg, Anlage A-21). Diese deckt den Schadenersatz für den Fall einer ungerechtfertigten Unterlassungsverfügung ab.</w:t>
      </w:r>
    </w:p>
    <w:p/>
    <w:p>
      <w:pPr>
        <w:pStyle w:val="Heading2"/>
      </w:pPr>
      <w:r>
        <w:rPr>
          <w:rFonts w:ascii="Times New Roman" w:hAnsi="Times New Roman"/>
        </w:rPr>
        <w:t>6. Verfahrensstand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01.03.2026</w:t>
            </w:r>
          </w:p>
        </w:tc>
        <w:tc>
          <w:tcPr>
            <w:tcW w:type="dxa" w:w="4536"/>
          </w:tcPr>
          <w:p>
            <w:r>
              <w:rPr>
                <w:rFonts w:ascii="Times New Roman" w:hAnsi="Times New Roman"/>
                <w:sz w:val="20"/>
              </w:rPr>
              <w:t>Antragstellung EVF_0044/2026</w:t>
            </w:r>
          </w:p>
        </w:tc>
      </w:tr>
      <w:tr>
        <w:tc>
          <w:tcPr>
            <w:tcW w:type="dxa" w:w="4536"/>
          </w:tcPr>
          <w:p>
            <w:r>
              <w:rPr>
                <w:rFonts w:ascii="Times New Roman" w:hAnsi="Times New Roman"/>
                <w:sz w:val="20"/>
              </w:rPr>
              <w:t>03.03.2026</w:t>
            </w:r>
          </w:p>
        </w:tc>
        <w:tc>
          <w:tcPr>
            <w:tcW w:type="dxa" w:w="4536"/>
          </w:tcPr>
          <w:p>
            <w:r>
              <w:rPr>
                <w:rFonts w:ascii="Times New Roman" w:hAnsi="Times New Roman"/>
                <w:sz w:val="20"/>
              </w:rPr>
              <w:t>Eingangsbestätigung UPC Düsseldorf</w:t>
            </w:r>
          </w:p>
        </w:tc>
      </w:tr>
      <w:tr>
        <w:tc>
          <w:tcPr>
            <w:tcW w:type="dxa" w:w="4536"/>
          </w:tcPr>
          <w:p>
            <w:r>
              <w:rPr>
                <w:rFonts w:ascii="Times New Roman" w:hAnsi="Times New Roman"/>
                <w:sz w:val="20"/>
              </w:rPr>
              <w:t>10.03.2026</w:t>
            </w:r>
          </w:p>
        </w:tc>
        <w:tc>
          <w:tcPr>
            <w:tcW w:type="dxa" w:w="4536"/>
          </w:tcPr>
          <w:p>
            <w:r>
              <w:rPr>
                <w:rFonts w:ascii="Times New Roman" w:hAnsi="Times New Roman"/>
                <w:sz w:val="20"/>
              </w:rPr>
              <w:t>Erörterungstermin (ohne mündliche Verhandlung)</w:t>
            </w:r>
          </w:p>
        </w:tc>
      </w:tr>
      <w:tr>
        <w:tc>
          <w:tcPr>
            <w:tcW w:type="dxa" w:w="4536"/>
          </w:tcPr>
          <w:p>
            <w:r>
              <w:rPr>
                <w:rFonts w:ascii="Times New Roman" w:hAnsi="Times New Roman"/>
                <w:sz w:val="20"/>
              </w:rPr>
              <w:t>18.03.2026</w:t>
            </w:r>
          </w:p>
        </w:tc>
        <w:tc>
          <w:tcPr>
            <w:tcW w:type="dxa" w:w="4536"/>
          </w:tcPr>
          <w:p>
            <w:r>
              <w:rPr>
                <w:rFonts w:ascii="Times New Roman" w:hAnsi="Times New Roman"/>
                <w:sz w:val="20"/>
              </w:rPr>
              <w:t>Erwartete Beschlussfassung UPC (erfahrungsgemäß 2–3 Wochen)</w:t>
            </w:r>
          </w:p>
        </w:tc>
      </w:tr>
    </w:tbl>
    <w:p>
      <w:pPr>
        <w:jc w:val="left"/>
      </w:pPr>
      <w:r>
        <w:t>Die UPC Lokalkammer Düsseldorf hat am 10. März 2026 eine kurze Erörterung durch die Berichterstatterin (richterliche Mitarbeiterin) per Videokonferenz durchgeführt. Ergebnis: Die Kammer signalisiert, dass sie die prima facie Verletzung als glaubhaft gemacht ansieht, aber die Nichtigkeitsfrage (BPatG 4 Ni 18/26) noch einer kurzen Prüfung unterzieht. Beschluss bis 25. März 2026 erwartet.</w:t>
      </w:r>
    </w:p>
    <w:p/>
    <w:p>
      <w:pPr>
        <w:jc w:val="left"/>
      </w:pPr>
      <w:r>
        <w:rPr>
          <w:i/>
        </w:rPr>
        <w:t>Quellen: Art. 62 UPCA (EUR-Lex); Regel 209 UPC Rules of Procedure (EUR-Lex); § 940 ZPO (dejure.org).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 UPC Lokale Kammer Düsseldorf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 UPC Lokale Kammer Düsseldorf</w:t>
    </w:r>
  </w:p>
  <w:p>
    <w:pPr>
      <w:jc w:val="left"/>
      <w:pBdr>
        <w:bottom w:val="single" w:sz="6" w:space="2" w:color="3B3F45"/>
      </w:pBdr>
    </w:pPr>
    <w:r>
      <w:rPr>
        <w:rFonts w:ascii="Times New Roman" w:hAnsi="Times New Roman"/>
        <w:color w:val="6B6B66"/>
        <w:sz w:val="16"/>
      </w:rPr>
      <w:t>Gericht · Aktenzeichen intern: VM-2026-GR-001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