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Grenzbeschlagnahme: Verfahrensablauf und Zollanmeldung</w:t>
      </w:r>
    </w:p>
    <w:p>
      <w:pPr>
        <w:jc w:val="left"/>
      </w:pPr>
      <w:r>
        <w:rPr>
          <w:b/>
        </w:rPr>
        <w:t>Aktenzeichen intern:</w:t>
      </w:r>
      <w:r>
        <w:t xml:space="preserve"> VM-2026-GR-001</w:t>
      </w:r>
    </w:p>
    <w:p>
      <w:pPr>
        <w:jc w:val="left"/>
      </w:pPr>
      <w:r>
        <w:rPr>
          <w:b/>
        </w:rPr>
        <w:t>Zollamtliches Aktenzeichen:</w:t>
      </w:r>
      <w:r>
        <w:t xml:space="preserve"> ZA-2026-FRA-0381</w:t>
      </w:r>
    </w:p>
    <w:p>
      <w:pPr>
        <w:jc w:val="left"/>
      </w:pPr>
      <w:r>
        <w:rPr>
          <w:b/>
        </w:rPr>
        <w:t>Behörde:</w:t>
      </w:r>
      <w:r>
        <w:t xml:space="preserve"> Hauptzollamt Frankfurt am Main, Sachgebiet Beschlagnahme/Rechtsschutz</w:t>
      </w:r>
    </w:p>
    <w:p>
      <w:pPr>
        <w:jc w:val="left"/>
      </w:pPr>
      <w:r>
        <w:rPr>
          <w:b/>
        </w:rPr>
        <w:t>Datum:</w:t>
      </w:r>
      <w:r>
        <w:t xml:space="preserve"> 15. März 2026</w:t>
      </w:r>
    </w:p>
    <w:p>
      <w:pPr>
        <w:jc w:val="left"/>
      </w:pPr>
      <w:r>
        <w:rPr>
          <w:b/>
        </w:rPr>
        <w:t>Bearbeiter:</w:t>
      </w:r>
      <w:r>
        <w:t xml:space="preserve"> RA Tobias Fehrenbach</w:t>
      </w:r>
    </w:p>
    <w:p/>
    <w:p>
      <w:pPr>
        <w:pStyle w:val="Heading2"/>
      </w:pPr>
      <w:r>
        <w:rPr>
          <w:rFonts w:ascii="Times New Roman" w:hAnsi="Times New Roman"/>
        </w:rPr>
        <w:t>1. Vorgeschichte und Auslöser</w:t>
      </w:r>
    </w:p>
    <w:p>
      <w:pPr>
        <w:jc w:val="left"/>
      </w:pPr>
      <w:r>
        <w:t>Die Grenzbeschlagnahme-Problematik umfasst zwei separate Warenströme, die beide das Implantat EP 3 218 922 B1 verletzen könnten:</w:t>
      </w:r>
    </w:p>
    <w:p>
      <w:pPr>
        <w:jc w:val="left"/>
      </w:pPr>
      <w:r>
        <w:rPr>
          <w:b/>
        </w:rPr>
        <w:t>Warenfluss 1 — Polen → Deutschland:</w:t>
      </w:r>
      <w:r>
        <w:t xml:space="preserve"> TitanOrtho Sp. z o.o. (Wroclaw) liefert TitanFlex Pro an Bochstaedt MedSupply OHG (Aalen) per LKW-Fracht. Da Polen EU-Mitglied ist, findet kein Außenzollverfahren statt; eine Grenzbeschlagnahme i.S.d. VO 608/2013 ist für diesen Warenfluss nicht möglich (VO 608/2013 gilt nur für Waren aus Drittstaaten oder bei Durchfuhr). Dieser Warenfluss ist durch das Unterlassungsurteil des UPC zu stoppen.</w:t>
      </w:r>
    </w:p>
    <w:p>
      <w:pPr>
        <w:jc w:val="left"/>
      </w:pPr>
      <w:r>
        <w:rPr>
          <w:b/>
        </w:rPr>
        <w:t>Warenfluss 2 — China → Deutschland:</w:t>
      </w:r>
      <w:r>
        <w:t xml:space="preserve"> Zhejiang MedTech Co., Ltd. (Hangzhou) → Bochstaedt MedSupply OHG (Aalen) per Luftfracht über Frankfurt. Dieser Warenfluss ist durch die VO 608/2013 erfasst (China = Drittland).</w:t>
      </w:r>
    </w:p>
    <w:p>
      <w:pPr>
        <w:jc w:val="left"/>
      </w:pPr>
      <w:r>
        <w:t>Das vorliegende Aktenstück betrifft Warenfluss 2.</w:t>
      </w:r>
    </w:p>
    <w:p/>
    <w:p>
      <w:pPr>
        <w:pStyle w:val="Heading2"/>
      </w:pPr>
      <w:r>
        <w:rPr>
          <w:rFonts w:ascii="Times New Roman" w:hAnsi="Times New Roman"/>
        </w:rPr>
        <w:t>2. Antrag auf Tätigwerden — Details</w:t>
      </w:r>
    </w:p>
    <w:p>
      <w:pPr>
        <w:pStyle w:val="Heading3"/>
      </w:pPr>
      <w:r>
        <w:rPr>
          <w:rFonts w:ascii="Times New Roman" w:hAnsi="Times New Roman"/>
        </w:rPr>
        <w:t>2.1 Bearbeitungsstatus</w:t>
      </w:r>
    </w:p>
    <w:p>
      <w:pPr>
        <w:jc w:val="left"/>
      </w:pPr>
      <w:r>
        <w:t>Der Antrag auf Tätigwerden (Art. 5 VO 608/2013) vom 10. März 2026 (vgl. Aktenstück 09) wurde dem Hauptzollamt Frankfurt am Main mit Kurierdienst zugestellt. Das Hauptzollamt hat den Eingang am 11. März 2026 bestätigt (EML-03: E-Mail Zoll Frankfurt 10.03.2026).</w:t>
      </w:r>
    </w:p>
    <w:p>
      <w:pPr>
        <w:jc w:val="left"/>
      </w:pPr>
      <w:r>
        <w:t>Der Antrag befindet sich gem. Art. 10 VO 608/2013 in der Bearbeitungsfrist (30 Arbeitstage). Entscheidung erwartet bis: 24. April 2026.</w:t>
      </w:r>
    </w:p>
    <w:p>
      <w:pPr>
        <w:pStyle w:val="Heading3"/>
      </w:pPr>
      <w:r>
        <w:rPr>
          <w:rFonts w:ascii="Times New Roman" w:hAnsi="Times New Roman"/>
        </w:rPr>
        <w:t>2.2 Angaben im Antrag (Kurzübersicht)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Rechtsinhaber</w:t>
            </w:r>
          </w:p>
        </w:tc>
        <w:tc>
          <w:tcPr>
            <w:tcW w:type="dxa" w:w="4536"/>
          </w:tcPr>
          <w:p>
            <w:r>
              <w:rPr>
                <w:rFonts w:ascii="Times New Roman" w:hAnsi="Times New Roman"/>
                <w:sz w:val="20"/>
              </w:rPr>
              <w:t>Vellbruck Medizintechnik GmbH</w:t>
            </w:r>
          </w:p>
        </w:tc>
      </w:tr>
      <w:tr>
        <w:tc>
          <w:tcPr>
            <w:tcW w:type="dxa" w:w="4536"/>
          </w:tcPr>
          <w:p>
            <w:r>
              <w:rPr>
                <w:rFonts w:ascii="Times New Roman" w:hAnsi="Times New Roman"/>
                <w:sz w:val="20"/>
              </w:rPr>
              <w:t>Schutzrechte</w:t>
            </w:r>
          </w:p>
        </w:tc>
        <w:tc>
          <w:tcPr>
            <w:tcW w:type="dxa" w:w="4536"/>
          </w:tcPr>
          <w:p>
            <w:r>
              <w:rPr>
                <w:rFonts w:ascii="Times New Roman" w:hAnsi="Times New Roman"/>
                <w:sz w:val="20"/>
              </w:rPr>
              <w:t>EP 3 218 922 B1; UM 018-882-188</w:t>
            </w:r>
          </w:p>
        </w:tc>
      </w:tr>
      <w:tr>
        <w:tc>
          <w:tcPr>
            <w:tcW w:type="dxa" w:w="4536"/>
          </w:tcPr>
          <w:p>
            <w:r>
              <w:rPr>
                <w:rFonts w:ascii="Times New Roman" w:hAnsi="Times New Roman"/>
                <w:sz w:val="20"/>
              </w:rPr>
              <w:t>Verdächtige Waren</w:t>
            </w:r>
          </w:p>
        </w:tc>
        <w:tc>
          <w:tcPr>
            <w:tcW w:type="dxa" w:w="4536"/>
          </w:tcPr>
          <w:p>
            <w:r>
              <w:rPr>
                <w:rFonts w:ascii="Times New Roman" w:hAnsi="Times New Roman"/>
                <w:sz w:val="20"/>
              </w:rPr>
              <w:t>Hüftimplantat-Schäfte Titan, HS 9021.11.00</w:t>
            </w:r>
          </w:p>
        </w:tc>
      </w:tr>
      <w:tr>
        <w:tc>
          <w:tcPr>
            <w:tcW w:type="dxa" w:w="4536"/>
          </w:tcPr>
          <w:p>
            <w:r>
              <w:rPr>
                <w:rFonts w:ascii="Times New Roman" w:hAnsi="Times New Roman"/>
                <w:sz w:val="20"/>
              </w:rPr>
              <w:t>Herkunftsland verdächtige Waren</w:t>
            </w:r>
          </w:p>
        </w:tc>
        <w:tc>
          <w:tcPr>
            <w:tcW w:type="dxa" w:w="4536"/>
          </w:tcPr>
          <w:p>
            <w:r>
              <w:rPr>
                <w:rFonts w:ascii="Times New Roman" w:hAnsi="Times New Roman"/>
                <w:sz w:val="20"/>
              </w:rPr>
              <w:t>China (Zhejiang MedTech Co., Ltd.)</w:t>
            </w:r>
          </w:p>
        </w:tc>
      </w:tr>
      <w:tr>
        <w:tc>
          <w:tcPr>
            <w:tcW w:type="dxa" w:w="4536"/>
          </w:tcPr>
          <w:p>
            <w:r>
              <w:rPr>
                <w:rFonts w:ascii="Times New Roman" w:hAnsi="Times New Roman"/>
                <w:sz w:val="20"/>
              </w:rPr>
              <w:t>Transportweg</w:t>
            </w:r>
          </w:p>
        </w:tc>
        <w:tc>
          <w:tcPr>
            <w:tcW w:type="dxa" w:w="4536"/>
          </w:tcPr>
          <w:p>
            <w:r>
              <w:rPr>
                <w:rFonts w:ascii="Times New Roman" w:hAnsi="Times New Roman"/>
                <w:sz w:val="20"/>
              </w:rPr>
              <w:t>Luftfracht, Frankfurt Cargo City Süd</w:t>
            </w:r>
          </w:p>
        </w:tc>
      </w:tr>
      <w:tr>
        <w:tc>
          <w:tcPr>
            <w:tcW w:type="dxa" w:w="4536"/>
          </w:tcPr>
          <w:p>
            <w:r>
              <w:rPr>
                <w:rFonts w:ascii="Times New Roman" w:hAnsi="Times New Roman"/>
                <w:sz w:val="20"/>
              </w:rPr>
              <w:t>Erkennungsmerkmale (Originalware)</w:t>
            </w:r>
          </w:p>
        </w:tc>
        <w:tc>
          <w:tcPr>
            <w:tcW w:type="dxa" w:w="4536"/>
          </w:tcPr>
          <w:p>
            <w:r>
              <w:rPr>
                <w:rFonts w:ascii="Times New Roman" w:hAnsi="Times New Roman"/>
                <w:sz w:val="20"/>
              </w:rPr>
              <w:t>CE-Zeichen Vellbruck, Serialnummer-Format VM-XXXXX, EUDAMED-Registrierung DE/CA05/0021/2018</w:t>
            </w:r>
          </w:p>
        </w:tc>
      </w:tr>
      <w:tr>
        <w:tc>
          <w:tcPr>
            <w:tcW w:type="dxa" w:w="4536"/>
          </w:tcPr>
          <w:p>
            <w:r>
              <w:rPr>
                <w:rFonts w:ascii="Times New Roman" w:hAnsi="Times New Roman"/>
                <w:sz w:val="20"/>
              </w:rPr>
              <w:t>Erkennungsmerkmale (Verletzerwaren)</w:t>
            </w:r>
          </w:p>
        </w:tc>
        <w:tc>
          <w:tcPr>
            <w:tcW w:type="dxa" w:w="4536"/>
          </w:tcPr>
          <w:p>
            <w:r>
              <w:rPr>
                <w:rFonts w:ascii="Times New Roman" w:hAnsi="Times New Roman"/>
                <w:sz w:val="20"/>
              </w:rPr>
              <w:t>Fehlende oder gefälschte CE-Kennzeichnung; HS-Code 9021.11.00; Gewicht ca. 350 g/Einheit; Abmessungen 120 mm × 30 mm</w:t>
            </w:r>
          </w:p>
        </w:tc>
      </w:tr>
      <w:tr>
        <w:tc>
          <w:tcPr>
            <w:tcW w:type="dxa" w:w="4536"/>
          </w:tcPr>
          <w:p>
            <w:r>
              <w:rPr>
                <w:rFonts w:ascii="Times New Roman" w:hAnsi="Times New Roman"/>
                <w:sz w:val="20"/>
              </w:rPr>
              <w:t>Bürgschaft</w:t>
            </w:r>
          </w:p>
        </w:tc>
        <w:tc>
          <w:tcPr>
            <w:tcW w:type="dxa" w:w="4536"/>
          </w:tcPr>
          <w:p>
            <w:r>
              <w:rPr>
                <w:rFonts w:ascii="Times New Roman" w:hAnsi="Times New Roman"/>
                <w:sz w:val="20"/>
              </w:rPr>
              <w:t>50.000 EUR (Allianz SE, Bürgschafts-Nr. B-2026-FF-4418)</w:t>
            </w:r>
          </w:p>
        </w:tc>
      </w:tr>
    </w:tbl>
    <w:p/>
    <w:p>
      <w:pPr>
        <w:pStyle w:val="Heading2"/>
      </w:pPr>
      <w:r>
        <w:rPr>
          <w:rFonts w:ascii="Times New Roman" w:hAnsi="Times New Roman"/>
        </w:rPr>
        <w:t>3. Die erste Grenzbeschlagnahme (10. März 2026)</w:t>
      </w:r>
    </w:p>
    <w:p>
      <w:pPr>
        <w:jc w:val="left"/>
      </w:pPr>
      <w:r>
        <w:t>Noch vor Bescheidung des formellen Antrags hat das Hauptzollamt Frankfurt eine Sendung gem. Art. 18 VO 608/2013 amtswegig zurückgehalten:</w:t>
      </w:r>
    </w:p>
    <w:p>
      <w:pPr>
        <w:jc w:val="left"/>
      </w:pPr>
      <w:r>
        <w:rPr>
          <w:b/>
        </w:rPr>
        <w:t>Sendungsdaten:</w:t>
      </w:r>
    </w:p>
    <w:p>
      <w:pPr>
        <w:pStyle w:val="ListBullet"/>
      </w:pPr>
      <w:r>
        <w:t>Frachtbrief-Nr.: 157-2886-2026 (Lufthansa Cargo)</w:t>
      </w:r>
    </w:p>
    <w:p>
      <w:pPr>
        <w:pStyle w:val="ListBullet"/>
      </w:pPr>
      <w:r>
        <w:t>Abflughafen: PVG (Pudong International, Shanghai)</w:t>
      </w:r>
    </w:p>
    <w:p>
      <w:pPr>
        <w:pStyle w:val="ListBullet"/>
      </w:pPr>
      <w:r>
        <w:t>Ankunft: Frankfurt FRA Cargo, 08. März 2026, 22:41 Uhr</w:t>
      </w:r>
    </w:p>
    <w:p>
      <w:pPr>
        <w:pStyle w:val="ListBullet"/>
      </w:pPr>
      <w:r>
        <w:t>Inhalt laut Warenbegleitpapier: "titanium hip implant prosthesis — orthopaedic use — 14 pcs."</w:t>
      </w:r>
    </w:p>
    <w:p>
      <w:pPr>
        <w:pStyle w:val="ListBullet"/>
      </w:pPr>
      <w:r>
        <w:t>HS-Code: 9021.11.00</w:t>
      </w:r>
    </w:p>
    <w:p>
      <w:pPr>
        <w:pStyle w:val="ListBullet"/>
      </w:pPr>
      <w:r>
        <w:t>Absender: Zhejiang MedTech Co., Ltd., Hangzhou</w:t>
      </w:r>
    </w:p>
    <w:p>
      <w:pPr>
        <w:pStyle w:val="ListBullet"/>
      </w:pPr>
      <w:r>
        <w:t>Empfänger: Bochstaedt MedSupply OHG, Aalen</w:t>
      </w:r>
    </w:p>
    <w:p>
      <w:pPr>
        <w:pStyle w:val="ListBullet"/>
      </w:pPr>
      <w:r>
        <w:t>Zollwert: 7.980 EUR (= ca. 570 EUR/Einheit, deutlich unter EU-Marktpreis)</w:t>
      </w:r>
    </w:p>
    <w:p>
      <w:pPr>
        <w:jc w:val="left"/>
      </w:pPr>
      <w:r>
        <w:t xml:space="preserve">Das Hauptzollamt informierte die Kanzlei Birkenhainer &amp; Consulting am 10. März 2026 per E-Mail (EML-03). Die Mandantin wurde aufgefordert, bis zum </w:t>
      </w:r>
      <w:r>
        <w:rPr>
          <w:b/>
        </w:rPr>
        <w:t>25. März 2026</w:t>
      </w:r>
      <w:r>
        <w:t xml:space="preserve"> zu erklären, ob sie gerichtliche Maßnahmen einleiten möchte.</w:t>
      </w:r>
    </w:p>
    <w:p>
      <w:pPr>
        <w:pStyle w:val="Heading3"/>
      </w:pPr>
      <w:r>
        <w:rPr>
          <w:rFonts w:ascii="Times New Roman" w:hAnsi="Times New Roman"/>
        </w:rPr>
        <w:t>3.1 Reaktion der Kanzlei</w:t>
      </w:r>
    </w:p>
    <w:p>
      <w:pPr>
        <w:jc w:val="left"/>
      </w:pPr>
      <w:r>
        <w:t>Mit Schreiben vom 15. März 2026 an das Hauptzollamt Frankfurt hat RA Fehrenbach:</w:t>
      </w:r>
    </w:p>
    <w:p>
      <w:pPr>
        <w:pStyle w:val="ListNumber"/>
      </w:pPr>
      <w:r>
        <w:t>Die Absicht zur gerichtlichen Einleitung bestätigt (Antrag auf Verlängerung auf 20 Arbeitstage gem. Art. 17 Abs. 3 VO 608/2013 gestellt)</w:t>
      </w:r>
    </w:p>
    <w:p>
      <w:pPr>
        <w:pStyle w:val="ListNumber"/>
      </w:pPr>
      <w:r>
        <w:t>Um Überlassung von Musterimplantaten für die Sachverständigenanalyse gebeten (Art. 19 VO 608/2013)</w:t>
      </w:r>
    </w:p>
    <w:p>
      <w:pPr>
        <w:pStyle w:val="ListNumber"/>
      </w:pPr>
      <w:r>
        <w:t>Eine eidesstattliche Versicherung zur Verletzung des EP 3 218 922 B1 durch die zurückgehaltene Ware beigefügt (Dipl.-Ing. Reisemann, Anlage A-23)</w:t>
      </w:r>
    </w:p>
    <w:p>
      <w:pPr>
        <w:pStyle w:val="Heading3"/>
      </w:pPr>
      <w:r>
        <w:rPr>
          <w:rFonts w:ascii="Times New Roman" w:hAnsi="Times New Roman"/>
        </w:rPr>
        <w:t>3.2 Musteranalyse</w:t>
      </w:r>
    </w:p>
    <w:p>
      <w:pPr>
        <w:jc w:val="left"/>
      </w:pPr>
      <w:r>
        <w:t>Das Hauptzollamt hat am 18. März 2026 zwei Musterimplantate aus der Sendung an RA Fehrenbach versandt. Diese wurden unmittelbar an Dr. Morbach (TU Dortmund) und das Institut für Materialprüfung Dortmund weitergeleitet. Die Analyse ist für den 01. April 2026 geplant.</w:t>
      </w:r>
    </w:p>
    <w:p/>
    <w:p>
      <w:pPr>
        <w:pStyle w:val="Heading2"/>
      </w:pPr>
      <w:r>
        <w:rPr>
          <w:rFonts w:ascii="Times New Roman" w:hAnsi="Times New Roman"/>
        </w:rPr>
        <w:t>4. Rechtliche Konsequenzen und nächste Schritte</w:t>
      </w:r>
    </w:p>
    <w:p>
      <w:pPr>
        <w:pStyle w:val="Heading3"/>
      </w:pPr>
      <w:r>
        <w:rPr>
          <w:rFonts w:ascii="Times New Roman" w:hAnsi="Times New Roman"/>
        </w:rPr>
        <w:t>4.1 Gerichtliche Maßnahme beim LG Frankfurt am Main</w:t>
      </w:r>
    </w:p>
    <w:p>
      <w:pPr>
        <w:jc w:val="left"/>
      </w:pPr>
      <w:r>
        <w:t>Gem. Art. 17 Abs. 3 VO 608/2013 muss eine gerichtliche Maßnahme eingeleitet werden, um die Waren dauerhaft einzubehalten. Im vorliegenden Fall:</w:t>
      </w:r>
    </w:p>
    <w:p>
      <w:pPr>
        <w:pStyle w:val="ListBullet"/>
      </w:pPr>
      <w:r>
        <w:t>Antrag auf Erlass einer einstweiligen Verfügung beim Landgericht Frankfurt am Main (Kammer für Handelssachen), gerichtet gegen Bochstaedt MedSupply OHG als Empfänger der Waren</w:t>
      </w:r>
    </w:p>
    <w:p>
      <w:pPr>
        <w:pStyle w:val="ListBullet"/>
      </w:pPr>
      <w:r>
        <w:t>Antrag auf Vernichtung der beschlagnahmten Waren gem. § 140a Abs. 1 PatG i.V.m. Art. 23 VO 608/2013</w:t>
      </w:r>
    </w:p>
    <w:p>
      <w:pPr>
        <w:jc w:val="left"/>
      </w:pPr>
      <w:r>
        <w:t>Die einstweilige Verfügung beim LG Frankfurt (ergänzend zur UPC-Verfügung) soll spezifisch für die aus China importierten Waren gelten.</w:t>
      </w:r>
    </w:p>
    <w:p>
      <w:pPr>
        <w:pStyle w:val="Heading3"/>
      </w:pPr>
      <w:r>
        <w:rPr>
          <w:rFonts w:ascii="Times New Roman" w:hAnsi="Times New Roman"/>
        </w:rPr>
        <w:t>4.2 Vereinfachtes Vernichtungsverfahren</w:t>
      </w:r>
    </w:p>
    <w:p>
      <w:pPr>
        <w:jc w:val="left"/>
      </w:pPr>
      <w:r>
        <w:t>Falls Bochstaedt nicht bis zum 25. März 2026 widerspricht, kann das vereinfachte Vernichtungsverfahren gem. Art. 23 Abs. 1 VO 608/2013 (für Kleinstmengen) eingeleitet werden: Bei weniger als 20 Einheiten kann die Vernichtung auf Antrag des Rechtsinhabers ohne Klageverfahren durchgeführt werden. Die vorliegende Sendung enthält 14 Einheiten — Voraussetzungen erfüllt. RA Fehrenbach hat diesen Weg beim Hauptzollamt beantragt.</w:t>
      </w:r>
    </w:p>
    <w:p/>
    <w:p>
      <w:pPr>
        <w:pStyle w:val="Heading2"/>
      </w:pPr>
      <w:r>
        <w:rPr>
          <w:rFonts w:ascii="Times New Roman" w:hAnsi="Times New Roman"/>
        </w:rPr>
        <w:t>5. Exportkontrolle und MDR-Compliance</w:t>
      </w:r>
    </w:p>
    <w:p>
      <w:pPr>
        <w:jc w:val="left"/>
      </w:pPr>
      <w:r>
        <w:t>Die chinesischen Implantate verfügen über kein gültiges CE-Zertifikat für den EU-Markt und sind daher nicht MDR-konform (Verordnung (EU) 2017/745, EUR-Lex). Das BfArM wurde am 12. März 2026 informiert. Eine parallele MDR-Marktsicherheitsmaßnahme (Art. 95 ff. MDR) durch das BfArM könnte die Zollmaßnahme flankieren und einen dauerhafteren Marktschutz bieten.</w:t>
      </w:r>
    </w:p>
    <w:p/>
    <w:p>
      <w:pPr>
        <w:jc w:val="left"/>
      </w:pPr>
      <w:r>
        <w:rPr>
          <w:i/>
        </w:rPr>
        <w:t>Quellen: VO (EU) 608/2013, Art. 5, 10, 17, 18, 19, 23 (EUR-Lex); § 140a PatG (dejure.org); Verordnung (EU) 2017/745, Art. 95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Hauptzollamt Frankfurt am Main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Hauptzollamt Frankfurt am Main</w:t>
    </w:r>
  </w:p>
  <w:p>
    <w:pPr>
      <w:jc w:val="left"/>
      <w:pBdr>
        <w:bottom w:val="single" w:sz="6" w:space="2" w:color="3B3F45"/>
      </w:pBdr>
    </w:pPr>
    <w:r>
      <w:rPr>
        <w:rFonts w:ascii="Times New Roman" w:hAnsi="Times New Roman"/>
        <w:color w:val="6B6B66"/>
        <w:sz w:val="16"/>
      </w:rPr>
      <w:t>Sachgebiet Beschlagnahme/Rechtsschutz · Aktenzeichen intern: VM-2026-GR-001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