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 Abschluss und Handlungsempfehlung (Stand Mai 2026)</w:t>
      </w:r>
    </w:p>
    <w:p>
      <w:pPr>
        <w:jc w:val="left"/>
      </w:pPr>
      <w:r>
        <w:rPr>
          <w:b/>
        </w:rPr>
        <w:t>Aktenzeichen intern:</w:t>
      </w:r>
      <w:r>
        <w:t xml:space="preserve"> VM-2026-GR-001</w:t>
      </w:r>
    </w:p>
    <w:p>
      <w:pPr>
        <w:jc w:val="left"/>
      </w:pPr>
      <w:r>
        <w:rPr>
          <w:b/>
        </w:rPr>
        <w:t>Datum:</w:t>
      </w:r>
      <w:r>
        <w:t xml:space="preserve"> 05. Mai 2026</w:t>
      </w:r>
    </w:p>
    <w:p>
      <w:pPr>
        <w:jc w:val="left"/>
      </w:pPr>
      <w:r>
        <w:rPr>
          <w:b/>
        </w:rPr>
        <w:t>Bearbeiter:</w:t>
      </w:r>
      <w:r>
        <w:t xml:space="preserve"> RA Dr. Marie-Henriette Birkenhainer</w:t>
      </w:r>
    </w:p>
    <w:p>
      <w:pPr>
        <w:jc w:val="left"/>
      </w:pPr>
      <w:r>
        <w:rPr>
          <w:b/>
        </w:rPr>
        <w:t>Adressat:</w:t>
      </w:r>
      <w:r>
        <w:t xml:space="preserve"> Dr. Philipp Sonnleitner, Geschäftsführer Vellbruck Medizintechnik GmbH</w:t>
      </w:r>
    </w:p>
    <w:p/>
    <w:p>
      <w:pPr>
        <w:pStyle w:val="Heading2"/>
      </w:pPr>
      <w:r>
        <w:rPr>
          <w:rFonts w:ascii="Times New Roman" w:hAnsi="Times New Roman"/>
        </w:rPr>
        <w:t>1. Zusammenfassende Lagebeurteilung (Stand Mai 2026)</w:t>
      </w:r>
    </w:p>
    <w:p>
      <w:pPr>
        <w:jc w:val="left"/>
      </w:pPr>
      <w:r>
        <w:t>Das vorliegende Mandat hat sich seit Mandatsannahme am 18. Januar 2026 in ca. 3,5 Monaten von einer Akutlage zu einem gut strukturierten Mehrfronten-IP-Verfahren entwickelt. Die Mandantin Vellbruck Medizintechnik GmbH steht auf einer starken Anspruchsposition, die sich auf fünf unabhängige Rechtssäulen stützt: Patent, Marke, Geschäftsgeheimnis, Design und ergänzender Leistungsschutz (UWG). Die Beklagten sind unter erheblichem Prozessdruck.</w:t>
      </w:r>
    </w:p>
    <w:p>
      <w:pPr>
        <w:pStyle w:val="Heading3"/>
      </w:pPr>
      <w:r>
        <w:rPr>
          <w:rFonts w:ascii="Times New Roman" w:hAnsi="Times New Roman"/>
        </w:rPr>
        <w:t>1.1 Aktuelle Stärken der Mandantin</w:t>
      </w:r>
    </w:p>
    <w:p>
      <w:pPr>
        <w:pStyle w:val="ListBullet"/>
      </w:pPr>
      <w:r>
        <w:rPr>
          <w:b/>
        </w:rPr>
        <w:t>Patent:</w:t>
      </w:r>
      <w:r>
        <w:t xml:space="preserve"> Wortsinngemäße Verletzung durch Gutachten Dr. Morbach vollständig belegt (alle 5 Merkmale Anspruch 1). Nichtigkeitsklage BPatG hat nach Analyse geringe Erfolgsaussicht (Neuheitsargumente nicht überzeugend). UPC-EV signalisiert positiv.</w:t>
      </w:r>
    </w:p>
    <w:p>
      <w:pPr>
        <w:pStyle w:val="ListBullet"/>
      </w:pPr>
      <w:r>
        <w:rPr>
          <w:b/>
        </w:rPr>
        <w:t>Marke:</w:t>
      </w:r>
      <w:r>
        <w:t xml:space="preserve"> Verwechslungsgefahr zwischen TITANFLEX (UM 018-882-188) und "TitanFlex Pro" eindeutig. Abmahnung gescheitert; EV-Antrag LG Stuttgart vorbereitet.</w:t>
      </w:r>
    </w:p>
    <w:p>
      <w:pPr>
        <w:pStyle w:val="ListBullet"/>
      </w:pPr>
      <w:r>
        <w:rPr>
          <w:b/>
        </w:rPr>
        <w:t>GeschG:</w:t>
      </w:r>
      <w:r>
        <w:t xml:space="preserve"> IT-Forensikbericht und Gutachten Dr. Morbach deuten auf Nutzung entwendeter Konstruktionsdaten hin. Strafanzeige gegen Drostmann geplant.</w:t>
      </w:r>
    </w:p>
    <w:p>
      <w:pPr>
        <w:pStyle w:val="ListBullet"/>
      </w:pPr>
      <w:r>
        <w:rPr>
          <w:b/>
        </w:rPr>
        <w:t>Zoll:</w:t>
      </w:r>
      <w:r>
        <w:t xml:space="preserve"> Grenzbeschlagnahme China-Importe läuft; erste Sendung gesichert.</w:t>
      </w:r>
    </w:p>
    <w:p>
      <w:pPr>
        <w:pStyle w:val="ListBullet"/>
      </w:pPr>
      <w:r>
        <w:rPr>
          <w:b/>
        </w:rPr>
        <w:t>Vergleich:</w:t>
      </w:r>
      <w:r>
        <w:t xml:space="preserve"> TitanOrtho zeigt Einigungsbereitschaft; Druck durch kumulierte Verfahren spürbar.</w:t>
      </w:r>
    </w:p>
    <w:p>
      <w:pPr>
        <w:pStyle w:val="Heading3"/>
      </w:pPr>
      <w:r>
        <w:rPr>
          <w:rFonts w:ascii="Times New Roman" w:hAnsi="Times New Roman"/>
        </w:rPr>
        <w:t>1.2 Verbleibende Risiken</w:t>
      </w:r>
    </w:p>
    <w:p>
      <w:pPr>
        <w:pStyle w:val="ListBullet"/>
      </w:pPr>
      <w:r>
        <w:rPr>
          <w:b/>
        </w:rPr>
        <w:t>BPatG:</w:t>
      </w:r>
      <w:r>
        <w:t xml:space="preserve"> Verfahren bis ca. 2028. Selbst bei guter Aussicht kann keine absolute Sicherheit gegeben werden.</w:t>
      </w:r>
    </w:p>
    <w:p>
      <w:pPr>
        <w:pStyle w:val="ListBullet"/>
      </w:pPr>
      <w:r>
        <w:rPr>
          <w:b/>
        </w:rPr>
        <w:t>EV-Entscheidung UPC:</w:t>
      </w:r>
      <w:r>
        <w:t xml:space="preserve"> Noch nicht formal ergangen (erwartet Ende März 2026 — bis Redaktionsschluss dieses Aktenstücks noch ausstehend). Bei negativer EV-Entscheidung würde der Marktschutz bis zur Hauptsache-Entscheidung entfallen.</w:t>
      </w:r>
    </w:p>
    <w:p>
      <w:pPr>
        <w:pStyle w:val="ListBullet"/>
      </w:pPr>
      <w:r>
        <w:rPr>
          <w:b/>
        </w:rPr>
        <w:t>FRAND-Erklärung USA:</w:t>
      </w:r>
      <w:r>
        <w:t xml:space="preserve"> Noch nicht bereinigt. Sofortiger Handlungsbedarf (siehe unten).</w:t>
      </w:r>
    </w:p>
    <w:p>
      <w:pPr>
        <w:pStyle w:val="ListBullet"/>
      </w:pPr>
      <w:r>
        <w:rPr>
          <w:b/>
        </w:rPr>
        <w:t>Marken-EV Dringlichkeit:</w:t>
      </w:r>
      <w:r>
        <w:t xml:space="preserve"> Frist bis Ende April 2026 kritisch; EV-Antrag LG Stuttgart muss umgehend gestellt werden.</w:t>
      </w:r>
    </w:p>
    <w:p/>
    <w:p>
      <w:pPr>
        <w:pStyle w:val="Heading2"/>
      </w:pPr>
      <w:r>
        <w:rPr>
          <w:rFonts w:ascii="Times New Roman" w:hAnsi="Times New Roman"/>
        </w:rPr>
        <w:t>2. Handlungsempfehlungen — Sofortmaßnahmen (Mai 2026)</w:t>
      </w:r>
    </w:p>
    <w:p>
      <w:pPr>
        <w:pStyle w:val="Heading3"/>
      </w:pPr>
      <w:r>
        <w:rPr>
          <w:rFonts w:ascii="Times New Roman" w:hAnsi="Times New Roman"/>
        </w:rPr>
        <w:t>2.1 Marken-EV LG Stuttgart (Priorität Rot — sofort)</w:t>
      </w:r>
    </w:p>
    <w:p>
      <w:pPr>
        <w:jc w:val="left"/>
      </w:pPr>
      <w:r>
        <w:t xml:space="preserve">Der Antrag auf einstweilige Verfügung wegen Markenverletzung (TITANFLEX vs. TitanFlex Pro) muss bis spätestens </w:t>
      </w:r>
      <w:r>
        <w:rPr>
          <w:b/>
        </w:rPr>
        <w:t>15. Mai 2026</w:t>
      </w:r>
      <w:r>
        <w:t xml:space="preserve"> beim LG Stuttgart eingereicht werden, um die Dringlichkeit zu wahren. RA Dr. Karstens bereitet den Antrag dieser Woche vor. Mandant: Bitte um sofortige Rückmeldung zu etwaigen aktuellen Verletzungshandlungen (neue Werbematerialien, neue Lieferungen), die als Anlage beigefügt werden können.</w:t>
      </w:r>
    </w:p>
    <w:p>
      <w:pPr>
        <w:pStyle w:val="Heading3"/>
      </w:pPr>
      <w:r>
        <w:rPr>
          <w:rFonts w:ascii="Times New Roman" w:hAnsi="Times New Roman"/>
        </w:rPr>
        <w:t>2.2 FRAND-Erklärung USA bereinigen (Priorität Rot — bis 31.05.2026)</w:t>
      </w:r>
    </w:p>
    <w:p>
      <w:pPr>
        <w:jc w:val="left"/>
      </w:pPr>
      <w:r>
        <w:t>Harrington &amp; McCullough hat mitgeteilt, dass Vellbruck MedTech Inc. die FRAND-Erklärung widerrufen kann, sofern ASTM International noch keinen Normentwurf verabschiedet hat (Stand: Normentwurf noch nicht verabschiedet, Abschlussentscheidung ASTM-Ausschuss F04 September 2026). Handlungsempfehlung: Unverzügliche schriftliche Widerrufserklärung der Vellbruck MedTech Inc. gegenüber ASTM International mit Zustimmung der Vellbruck GmbH. Koordination durch Dr. Birkenhainer + Harrington.</w:t>
      </w:r>
    </w:p>
    <w:p>
      <w:pPr>
        <w:pStyle w:val="Heading3"/>
      </w:pPr>
      <w:r>
        <w:rPr>
          <w:rFonts w:ascii="Times New Roman" w:hAnsi="Times New Roman"/>
        </w:rPr>
        <w:t>2.3 Strafanzeige GeschG gegen Drostmann (Priorität Gelb — bis 31.05.2026)</w:t>
      </w:r>
    </w:p>
    <w:p>
      <w:pPr>
        <w:jc w:val="left"/>
      </w:pPr>
      <w:r>
        <w:t>Strafanzeige gem. § 23 GeschG bei Staatsanwaltschaft Stuttgart einreichen. Grundlage: IT-Forensikbericht Accenture, Dateilog-Auswertung, Erstgutachten Dr. Morbach. Durch die Strafanzeige wird der Druck auf Drostmann und mittelbar auf Bochstaedt erhöht.</w:t>
      </w:r>
    </w:p>
    <w:p>
      <w:pPr>
        <w:pStyle w:val="Heading3"/>
      </w:pPr>
      <w:r>
        <w:rPr>
          <w:rFonts w:ascii="Times New Roman" w:hAnsi="Times New Roman"/>
        </w:rPr>
        <w:t>2.4 Verlängerungsgebühr EP (Priorität Gelb — fällig 30.09.2026)</w:t>
      </w:r>
    </w:p>
    <w:p>
      <w:pPr>
        <w:jc w:val="left"/>
      </w:pPr>
      <w:r>
        <w:t>Die Jahresgebühr für EP 3 218 922 B1 ist am 30. September 2026 fällig. Vellbruck IP-Abteilung (Frau Reisemann) ist gebeten, die Zahlung rechtzeitig zu veranlassen. Ein Versäumnis würde zum Erlöschen des Patents führen — in der aktuellen Verfahrenssituation eine nicht hinnehmbare Katastrophe.</w:t>
      </w:r>
    </w:p>
    <w:p/>
    <w:p>
      <w:pPr>
        <w:pStyle w:val="Heading2"/>
      </w:pPr>
      <w:r>
        <w:rPr>
          <w:rFonts w:ascii="Times New Roman" w:hAnsi="Times New Roman"/>
        </w:rPr>
        <w:t>3. Mittelfristige Handlungsempfehlungen (bis Ende 2026)</w:t>
      </w:r>
    </w:p>
    <w:p>
      <w:pPr>
        <w:pStyle w:val="Heading3"/>
      </w:pPr>
      <w:r>
        <w:rPr>
          <w:rFonts w:ascii="Times New Roman" w:hAnsi="Times New Roman"/>
        </w:rPr>
        <w:t>3.1 Vergleichsstrategie</w:t>
      </w:r>
    </w:p>
    <w:p>
      <w:pPr>
        <w:jc w:val="left"/>
      </w:pPr>
      <w:r>
        <w:t>Die Kanzlei empfiehlt, die Vergleichsgespräche mit TitanOrtho/Bochstaedt fortzuführen. Die Mandantin sollte bereit sein, bei einem Gesamtpaket (Lizenz 5 % + Schadensersatz 300.000 EUR + Nichtigkeitsklagenrückzug + Markenumbenennung + GeschG-Regelung) eine Einigung zu schließen. Ein solches Paket würde einen Wert von ca. 750.000–900.000 EUR darstellen und die erhebliche Ungewissheit des BPatG-Verfahrens eliminieren.</w:t>
      </w:r>
    </w:p>
    <w:p>
      <w:pPr>
        <w:jc w:val="left"/>
      </w:pPr>
      <w:r>
        <w:t>Walk-Away-Bedingungen bleiben: Keine Schadensersatzzahlung unter 280.000 EUR; keine Lizenzrate unter 4 %; kein Bestand auf BPatG-Nichtigkeitsklage ohne gleichzeitigen Rückzug.</w:t>
      </w:r>
    </w:p>
    <w:p>
      <w:pPr>
        <w:pStyle w:val="Heading3"/>
      </w:pPr>
      <w:r>
        <w:rPr>
          <w:rFonts w:ascii="Times New Roman" w:hAnsi="Times New Roman"/>
        </w:rPr>
        <w:t>3.2 BPatG-Verteidigung intensivieren</w:t>
      </w:r>
    </w:p>
    <w:p>
      <w:pPr>
        <w:jc w:val="left"/>
      </w:pPr>
      <w:r>
        <w:t>PatAnw. Dr. Gruhl bereitet die Klageerwiderung vor (Frist 20.06.2026). Die Mandantin sollte alle Laborberichte, Versuchsdaten und die EPA-Prüfungsakte vollständig zur Verfügung stellen (Koordination: Frau Reisemann → Dr. Gruhl).</w:t>
      </w:r>
    </w:p>
    <w:p>
      <w:pPr>
        <w:pStyle w:val="Heading3"/>
      </w:pPr>
      <w:r>
        <w:rPr>
          <w:rFonts w:ascii="Times New Roman" w:hAnsi="Times New Roman"/>
        </w:rPr>
        <w:t>3.3 Neue Schutzrechtsstrategie (vorausschauend)</w:t>
      </w:r>
    </w:p>
    <w:p>
      <w:pPr>
        <w:jc w:val="left"/>
      </w:pPr>
      <w:r>
        <w:t>Unabhängig vom vorliegenden Verfahren empfiehlt die Kanzlei, das IP-Portfolio von Vellbruck zu stärken:</w:t>
      </w:r>
    </w:p>
    <w:p>
      <w:pPr>
        <w:pStyle w:val="ListNumber"/>
      </w:pPr>
      <w:r>
        <w:t>Patentanmeldung für die noch unveröffentlichte TitanFlex II-Technologie — vor dem Bekanntwerden der Drostmann-Affäre, um Prioritätsdaten zu sichern.</w:t>
      </w:r>
    </w:p>
    <w:p>
      <w:pPr>
        <w:pStyle w:val="ListNumber"/>
      </w:pPr>
      <w:r>
        <w:t>Einreichung eines internationalen Gemeinschaftsgeschmacksmusterantrags für das neue Design (nach Erteilung DE 88-2026).</w:t>
      </w:r>
    </w:p>
    <w:p>
      <w:pPr>
        <w:pStyle w:val="ListNumber"/>
      </w:pPr>
      <w:r>
        <w:t>Überprüfung aller NDA-Klauseln im Arbeitsvertrag künftiger Entwicklungsingenieure (Anpassung an GeschG-Standard).</w:t>
      </w:r>
    </w:p>
    <w:p/>
    <w:p>
      <w:pPr>
        <w:pStyle w:val="Heading2"/>
      </w:pPr>
      <w:r>
        <w:rPr>
          <w:rFonts w:ascii="Times New Roman" w:hAnsi="Times New Roman"/>
        </w:rPr>
        <w:t>4. Abschließende Einschätzung</w:t>
      </w:r>
    </w:p>
    <w:p>
      <w:pPr>
        <w:jc w:val="left"/>
      </w:pPr>
      <w:r>
        <w:t>Das Mandat VM-2026-GR-001 steht insgesamt auf einer starken Grundlage. Die Kombination aus einem belastbaren Patent, einer starken Marke, dem GeschG-Sachverhalt und dem zügigen prozessualen Handeln hat die Beklagten in eine schwierige Position gebracht. TitanOrtho zeigt bereits Einigungsbereitschaft. Mit konsequenter Fortführung der Verfahren und der empfohlenen Sofortmaßnahmen ist ein für die Mandantin vorteilhafter Abschluss — sei es durch Vergleich oder durch gerichtliche Entscheidung — erreichbar.</w:t>
      </w:r>
    </w:p>
    <w:p>
      <w:pPr>
        <w:jc w:val="left"/>
      </w:pPr>
      <w:r>
        <w:t>Die Kanzlei steht für Rückfragen jederzeit zur Verfügung.</w:t>
      </w:r>
    </w:p>
    <w:p>
      <w:pPr>
        <w:jc w:val="left"/>
      </w:pPr>
      <w:r>
        <w:rPr>
          <w:b/>
        </w:rPr>
        <w:t>Dr. Marie-Henriette Birkenhainer</w:t>
      </w:r>
    </w:p>
    <w:p>
      <w:pPr>
        <w:jc w:val="left"/>
      </w:pPr>
      <w:r>
        <w:t>Fachanwältin für gewerblichen Rechtsschutz</w:t>
      </w:r>
    </w:p>
    <w:p>
      <w:pPr>
        <w:jc w:val="left"/>
      </w:pPr>
      <w:r>
        <w:t>EPA-zugelassene Vertreterin Nr. EPA-D-12885</w:t>
      </w:r>
    </w:p>
    <w:p>
      <w:pPr>
        <w:jc w:val="left"/>
      </w:pPr>
      <w:r>
        <w:t>Kanzlei Birkenhainer &amp; Consulting, München</w:t>
      </w:r>
    </w:p>
    <w:p/>
    <w:p>
      <w:pPr>
        <w:jc w:val="left"/>
      </w:pPr>
      <w:r>
        <w:rPr>
          <w:i/>
        </w:rPr>
        <w:t>Quellen: § 139 PatG (dejure.org); § 14 MarkenG (dejure.org); § 6 GeschG (dejure.org); § 23 GeschG (dejure.org); Art. 62 UPCA (EUR-Lex); Verordnung (EU) Nr. 608/2013 (EUR-Lex); EuGH C-170/13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Geschäftsführer Vellbruck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Geschäftsführer Vellbruck Medizintechnik GmbH</w:t>
    </w:r>
  </w:p>
  <w:p>
    <w:pPr>
      <w:jc w:val="left"/>
      <w:pBdr>
        <w:bottom w:val="single" w:sz="6" w:space="2" w:color="3B3F45"/>
      </w:pBdr>
    </w:pPr>
    <w:r>
      <w:rPr>
        <w:rFonts w:ascii="Times New Roman" w:hAnsi="Times New Roman"/>
        <w:color w:val="6B6B66"/>
        <w:sz w:val="16"/>
      </w:rPr>
      <w:t>Unternehmen · Aktenzeichen intern: VM-2026-GR-001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