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Erstgespräch</w:t>
      </w:r>
    </w:p>
    <w:p>
      <w:pPr>
        <w:jc w:val="left"/>
      </w:pPr>
      <w:r>
        <w:rPr>
          <w:b/>
        </w:rPr>
        <w:t>Kanzlei:</w:t>
      </w:r>
      <w:r>
        <w:t xml:space="preserve"> Pohlmann &amp; Pohlmann Rechtsanwälte PartG mbB</w:t>
      </w:r>
    </w:p>
    <w:p>
      <w:pPr>
        <w:jc w:val="left"/>
      </w:pPr>
      <w:r>
        <w:rPr>
          <w:b/>
        </w:rPr>
        <w:t>Bürositz:</w:t>
      </w:r>
      <w:r>
        <w:t xml:space="preserve"> Lützowufer 17, 10785 Berlin</w:t>
      </w:r>
    </w:p>
    <w:p>
      <w:pPr>
        <w:jc w:val="left"/>
      </w:pPr>
      <w:r>
        <w:rPr>
          <w:b/>
        </w:rPr>
        <w:t>Bearbeitung:</w:t>
      </w:r>
      <w:r>
        <w:t xml:space="preserve"> RAin Dr. Friederike Hesselmann-Sauerbruch (Fachanwältin Verwaltungsrecht)</w:t>
      </w:r>
    </w:p>
    <w:p>
      <w:pPr>
        <w:jc w:val="left"/>
      </w:pPr>
      <w:r>
        <w:rPr>
          <w:b/>
        </w:rPr>
        <w:t>Mandantin:</w:t>
      </w:r>
      <w:r>
        <w:t xml:space="preserve"> Initiative Lausitzer Lebensraum e.V.</w:t>
      </w:r>
    </w:p>
    <w:p>
      <w:pPr>
        <w:jc w:val="left"/>
      </w:pPr>
      <w:r>
        <w:rPr>
          <w:b/>
        </w:rPr>
        <w:t>1. Vorsitzender:</w:t>
      </w:r>
      <w:r>
        <w:t xml:space="preserve"> Dr. Werner-Karl Pohlmann-Brandenburg, Forstwissenschaftler i.R., Forst/Lausitz</w:t>
      </w:r>
    </w:p>
    <w:p>
      <w:pPr>
        <w:jc w:val="left"/>
      </w:pPr>
      <w:r>
        <w:rPr>
          <w:b/>
        </w:rPr>
        <w:t>Datum:</w:t>
      </w:r>
      <w:r>
        <w:t xml:space="preserve"> Donnerstag, 04.06.2026, 14:30–16:45 Uhr</w:t>
      </w:r>
    </w:p>
    <w:p>
      <w:pPr>
        <w:jc w:val="left"/>
      </w:pPr>
      <w:r>
        <w:rPr>
          <w:b/>
        </w:rPr>
        <w:t>Ort:</w:t>
      </w:r>
      <w:r>
        <w:t xml:space="preserve"> Kanzleisitzungsraum Lützow</w:t>
      </w:r>
    </w:p>
    <w:p>
      <w:pPr>
        <w:jc w:val="left"/>
      </w:pPr>
      <w:r>
        <w:rPr>
          <w:b/>
        </w:rPr>
        <w:t>Aktenzeichen Kanzlei:</w:t>
      </w:r>
      <w:r>
        <w:t xml:space="preserve"> PoPo-2026-VR-0617</w:t>
      </w:r>
    </w:p>
    <w:p>
      <w:pPr>
        <w:pStyle w:val="Heading2"/>
      </w:pPr>
      <w:r>
        <w:rPr>
          <w:rFonts w:ascii="Times New Roman" w:hAnsi="Times New Roman"/>
        </w:rPr>
        <w:t>Sachverhalt nach Mandantenangaben</w:t>
      </w:r>
    </w:p>
    <w:p>
      <w:pPr>
        <w:jc w:val="left"/>
      </w:pPr>
      <w:r>
        <w:t>Der Verein hat am 27.05.2026 fristgerecht (drei Tage Vorlauf nach § 14 I VersG) bei der Stadt Forst (Lausitz) eine Versammlung unter freiem Himmel angemeldet:</w:t>
      </w:r>
    </w:p>
    <w:p>
      <w:pPr>
        <w:pStyle w:val="ListBullet"/>
      </w:pPr>
      <w:r>
        <w:rPr>
          <w:b/>
        </w:rPr>
        <w:t>Datum:</w:t>
      </w:r>
      <w:r>
        <w:t xml:space="preserve"> Samstag, 13.06.2026, 13:00–18:00 Uhr</w:t>
      </w:r>
    </w:p>
    <w:p>
      <w:pPr>
        <w:pStyle w:val="ListBullet"/>
      </w:pPr>
      <w:r>
        <w:rPr>
          <w:b/>
        </w:rPr>
        <w:t>Ort:</w:t>
      </w:r>
      <w:r>
        <w:t xml:space="preserve"> Marktplatz Forst (Lausitz) mit anschließendem Aufzug über Cottbuser Straße, Bahnhofstraße, Berliner Straße</w:t>
      </w:r>
    </w:p>
    <w:p>
      <w:pPr>
        <w:pStyle w:val="ListBullet"/>
      </w:pPr>
      <w:r>
        <w:rPr>
          <w:b/>
        </w:rPr>
        <w:t>Thema:</w:t>
      </w:r>
      <w:r>
        <w:t xml:space="preserve"> "Stopp der Tagebauerweiterung Welzow-Süd II — Klimaschutz statt Braunkohle"</w:t>
      </w:r>
    </w:p>
    <w:p>
      <w:pPr>
        <w:pStyle w:val="ListBullet"/>
      </w:pPr>
      <w:r>
        <w:rPr>
          <w:b/>
        </w:rPr>
        <w:t>Erwartete Teilnehmerzahl:</w:t>
      </w:r>
      <w:r>
        <w:t xml:space="preserve"> 800–1200 (laut Veranstalterangabe)</w:t>
      </w:r>
    </w:p>
    <w:p>
      <w:pPr>
        <w:pStyle w:val="ListBullet"/>
      </w:pPr>
      <w:r>
        <w:rPr>
          <w:b/>
        </w:rPr>
        <w:t>Anmelderin:</w:t>
      </w:r>
      <w:r>
        <w:t xml:space="preserve"> Initiative Lausitzer Lebensraum e.V., vertreten durch Pohlmann-Brandenburg</w:t>
      </w:r>
    </w:p>
    <w:p>
      <w:pPr>
        <w:pStyle w:val="ListBullet"/>
      </w:pPr>
      <w:r>
        <w:rPr>
          <w:b/>
        </w:rPr>
        <w:t>Programm:</w:t>
      </w:r>
      <w:r>
        <w:t xml:space="preserve"> Vier Redebeiträge (u.a. Klimaforscherin Dr. Annekathrin Storkow, BUND-Vertreter, junge Klimaaktivistin Lara Petzelt), Theaterperformance "Mahnmal Tagebau" mit symbolischer Erdaushebung, Abschlusskundgebung mit Musikdarbietung Folkband "Bartholomäus &amp; die Lausitzer Sumpfammern".</w:t>
      </w:r>
    </w:p>
    <w:p>
      <w:pPr>
        <w:pStyle w:val="Heading2"/>
      </w:pPr>
      <w:r>
        <w:rPr>
          <w:rFonts w:ascii="Times New Roman" w:hAnsi="Times New Roman"/>
        </w:rPr>
        <w:t>Polizeiverfügung vom 02.06.2026</w:t>
      </w:r>
    </w:p>
    <w:p>
      <w:pPr>
        <w:jc w:val="left"/>
      </w:pPr>
      <w:r>
        <w:t>Mandantin erhielt am 03.06.2026 eine Verfügung der Polizeiinspektion Spree-Neiße (Aktenzeichen PolInsp SPN 2026-VS-0188) mit folgenden Auflagen:</w:t>
      </w:r>
    </w:p>
    <w:p>
      <w:pPr>
        <w:pStyle w:val="ListNumber"/>
      </w:pPr>
      <w:r>
        <w:rPr>
          <w:b/>
        </w:rPr>
        <w:t>Standortverlegung</w:t>
      </w:r>
      <w:r>
        <w:t xml:space="preserve"> vom Marktplatz auf den Festplatz an der Berliner Straße (ca. 1,2 km außerhalb des Stadtzentrums).</w:t>
      </w:r>
    </w:p>
    <w:p>
      <w:pPr>
        <w:pStyle w:val="ListNumber"/>
      </w:pPr>
      <w:r>
        <w:rPr>
          <w:b/>
        </w:rPr>
        <w:t>Vollständiges Pyrotechnikverbot</w:t>
      </w:r>
      <w:r>
        <w:t xml:space="preserve"> (auch Bengalos, Rauchfackeln, Konfetti-Kanonen).</w:t>
      </w:r>
    </w:p>
    <w:p>
      <w:pPr>
        <w:pStyle w:val="ListNumber"/>
      </w:pPr>
      <w:r>
        <w:rPr>
          <w:b/>
        </w:rPr>
        <w:t>Lautsprecher-Begrenzung</w:t>
      </w:r>
      <w:r>
        <w:t xml:space="preserve"> auf 75 dB(A), gemessen in 25 m Entfernung.</w:t>
      </w:r>
    </w:p>
    <w:p>
      <w:pPr>
        <w:pStyle w:val="ListNumber"/>
      </w:pPr>
      <w:r>
        <w:rPr>
          <w:b/>
        </w:rPr>
        <w:t>Verkürzung</w:t>
      </w:r>
      <w:r>
        <w:t xml:space="preserve"> der Veranstaltung auf 14:00–17:00 Uhr.</w:t>
      </w:r>
    </w:p>
    <w:p>
      <w:pPr>
        <w:pStyle w:val="ListNumber"/>
      </w:pPr>
      <w:r>
        <w:rPr>
          <w:b/>
        </w:rPr>
        <w:t>Verbot der "symbolischen Erdaushebung"</w:t>
      </w:r>
      <w:r>
        <w:t xml:space="preserve"> im Rahmen der Theaterperformance (Begründung: "Sachbeschädigung an öffentlichen Anlagen").</w:t>
      </w:r>
    </w:p>
    <w:p>
      <w:pPr>
        <w:pStyle w:val="ListNumber"/>
      </w:pPr>
      <w:r>
        <w:rPr>
          <w:b/>
        </w:rPr>
        <w:t>Auflage Anwesenheit Versammlungsleiter</w:t>
      </w:r>
      <w:r>
        <w:t xml:space="preserve"> über gesamte Dauer mit namentlicher Bekanntgabe von drei Ordnern (mind. 25 Jahre, polizeiliches Führungszeugnis).</w:t>
      </w:r>
    </w:p>
    <w:p>
      <w:pPr>
        <w:jc w:val="left"/>
      </w:pPr>
      <w:r>
        <w:t xml:space="preserve">Verfügung ist mit </w:t>
      </w:r>
      <w:r>
        <w:rPr>
          <w:b/>
        </w:rPr>
        <w:t>Anordnung der sofortigen Vollziehung</w:t>
      </w:r>
      <w:r>
        <w:t xml:space="preserve"> nach § 80 II 1 Nr. 4 VwGO versehen. Polizei droht für den Fall der Nichteinhaltung die Auflösung der Versammlung nach § 15 III VersG an.</w:t>
      </w:r>
    </w:p>
    <w:p>
      <w:pPr>
        <w:pStyle w:val="Heading2"/>
      </w:pPr>
      <w:r>
        <w:rPr>
          <w:rFonts w:ascii="Times New Roman" w:hAnsi="Times New Roman"/>
        </w:rPr>
        <w:t>Mandantenanliegen</w:t>
      </w:r>
    </w:p>
    <w:p>
      <w:pPr>
        <w:jc w:val="left"/>
      </w:pPr>
      <w:r>
        <w:t>Pohlmann-Brandenburg möchte:</w:t>
      </w:r>
    </w:p>
    <w:p>
      <w:pPr>
        <w:pStyle w:val="ListNumber"/>
      </w:pPr>
      <w:r>
        <w:t>Eilrechtsschutz gegen die Standortverlegung (Marktplatz ist das Symbol; Festplatz hat keine Wirkung).</w:t>
      </w:r>
    </w:p>
    <w:p>
      <w:pPr>
        <w:pStyle w:val="ListNumber"/>
      </w:pPr>
      <w:r>
        <w:t>Eilrechtsschutz gegen das Verbot der Erdaushebung (Kunstfreiheit Art 5 III GG).</w:t>
      </w:r>
    </w:p>
    <w:p>
      <w:pPr>
        <w:pStyle w:val="ListNumber"/>
      </w:pPr>
      <w:r>
        <w:t>Lockerung der dB(A)-Begrenzung (75 dB bei 800–1200 Personen unrealistisch).</w:t>
      </w:r>
    </w:p>
    <w:p>
      <w:pPr>
        <w:pStyle w:val="ListNumber"/>
      </w:pPr>
      <w:r>
        <w:t>Notfalls Hauptsacheklage.</w:t>
      </w:r>
    </w:p>
    <w:p>
      <w:pPr>
        <w:jc w:val="left"/>
      </w:pPr>
      <w:r>
        <w:t>Die Verkürzung 14–17 Uhr und das Pyrotechnikverbot will er hinnehmen.</w:t>
      </w:r>
    </w:p>
    <w:p>
      <w:pPr>
        <w:pStyle w:val="Heading2"/>
      </w:pPr>
      <w:r>
        <w:rPr>
          <w:rFonts w:ascii="Times New Roman" w:hAnsi="Times New Roman"/>
        </w:rPr>
        <w:t>Erstberatungseinschätzung RAin Hesselmann-Sauerbruch</w:t>
      </w:r>
    </w:p>
    <w:p>
      <w:pPr>
        <w:jc w:val="left"/>
      </w:pPr>
      <w:r>
        <w:t>Verhältnismäßigkeitsprüfung jedes einzelnen Auflagenteils. Eingriff in Art 8 I GG (Versammlungsfreiheit) und teilweise in Art 5 III GG (Kunstfreiheit). Eingriff in Versammlungsfreiheit ist von hoher Intensität: Aufzug-Verlegung an Stadtrand entwertet das Versammlungsanliegen.</w:t>
      </w:r>
    </w:p>
    <w:p>
      <w:pPr>
        <w:jc w:val="left"/>
      </w:pPr>
      <w:r>
        <w:t>BVerfGE 69, 315 (Brokdorf): Versammlungsfreiheit als konstitutives Element der demokratischen Ordnung. Auflagen nur bei konkreter Gefahr für die öffentliche Sicherheit oder Ordnung.</w:t>
      </w:r>
    </w:p>
    <w:p>
      <w:pPr>
        <w:jc w:val="left"/>
      </w:pPr>
      <w:r>
        <w:t>§ 80 V VwGO Eilantrag VG Cottbus, ggf. Beschwerde OVG Berlin-Brandenburg.</w:t>
      </w:r>
    </w:p>
    <w:p>
      <w:pPr>
        <w:pStyle w:val="Heading2"/>
      </w:pPr>
      <w:r>
        <w:rPr>
          <w:rFonts w:ascii="Times New Roman" w:hAnsi="Times New Roman"/>
        </w:rPr>
        <w:t>Fristen</w:t>
      </w:r>
    </w:p>
    <w:p>
      <w:pPr>
        <w:pStyle w:val="ListBullet"/>
      </w:pPr>
      <w:r>
        <w:t xml:space="preserve">Versammlung: </w:t>
      </w:r>
      <w:r>
        <w:rPr>
          <w:b/>
        </w:rPr>
        <w:t>Samstag 13.06.2026</w:t>
      </w:r>
      <w:r>
        <w:t xml:space="preserve"> — nur noch 9 Tage.</w:t>
      </w:r>
    </w:p>
    <w:p>
      <w:pPr>
        <w:pStyle w:val="ListBullet"/>
      </w:pPr>
      <w:r>
        <w:t xml:space="preserve">Eilantrag muss bis </w:t>
      </w:r>
      <w:r>
        <w:rPr>
          <w:b/>
        </w:rPr>
        <w:t>Mittwoch 10.06.2026</w:t>
      </w:r>
      <w:r>
        <w:t xml:space="preserve"> beim VG Cottbus eingehen, damit Beschluss vor Versammlung möglich.</w:t>
      </w:r>
    </w:p>
    <w:p>
      <w:pPr>
        <w:pStyle w:val="ListBullet"/>
      </w:pPr>
      <w:r>
        <w:t>Widerspruch gegen Verfügung: 1 Monat (§ 70 I VwGO), läuft 03.07.2026.</w:t>
      </w:r>
    </w:p>
    <w:p>
      <w:pPr>
        <w:pStyle w:val="Heading2"/>
      </w:pPr>
      <w:r>
        <w:rPr>
          <w:rFonts w:ascii="Times New Roman" w:hAnsi="Times New Roman"/>
        </w:rPr>
        <w:t>Honorar</w:t>
      </w:r>
    </w:p>
    <w:p>
      <w:pPr>
        <w:jc w:val="left"/>
      </w:pPr>
      <w:r>
        <w:t>RVG mit Streitwertannahme 15.000 EUR (Halbierung wegen Eilverfahren); Geschäftsgebühr Vertretung, Vorbescheid 1,3, gerichtliche Gebühren Eilverfahren 0,5. Vorschuss 1.800 EUR vereinbart.</w:t>
      </w:r>
    </w:p>
    <w:p>
      <w:pPr>
        <w:pStyle w:val="Heading2"/>
      </w:pPr>
      <w:r>
        <w:rPr>
          <w:rFonts w:ascii="Times New Roman" w:hAnsi="Times New Roman"/>
        </w:rPr>
        <w:t>Vereinbartes Vorgehen</w:t>
      </w:r>
    </w:p>
    <w:p>
      <w:pPr>
        <w:pStyle w:val="ListNumber"/>
      </w:pPr>
      <w:r>
        <w:t>Sofortige Akteneinsicht bei der Polizeiinspektion Spree-Neiße (heute, 04.06.).</w:t>
      </w:r>
    </w:p>
    <w:p>
      <w:pPr>
        <w:pStyle w:val="ListNumber"/>
      </w:pPr>
      <w:r>
        <w:t>Eilantragsentwurf bis 08.06.2026.</w:t>
      </w:r>
    </w:p>
    <w:p>
      <w:pPr>
        <w:pStyle w:val="ListNumber"/>
      </w:pPr>
      <w:r>
        <w:t>Vorbescheid Polizei mit konkretem Gegenvorschlag bis 09.06.2026.</w:t>
      </w:r>
    </w:p>
    <w:p>
      <w:pPr>
        <w:jc w:val="left"/>
      </w:pPr>
      <w:r>
        <w:rPr>
          <w:b/>
        </w:rPr>
        <w:t>Notiert:</w:t>
      </w:r>
      <w:r>
        <w:t xml:space="preserve"> F. Hesselmann-Sauerbruch, 04.06.2026, 17:10 Uhr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Pohlmann &amp; Pohlmann Rechtsanwälte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POHLMANN &amp; POHLMANN RECHTSANWÄLTE PARTG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 · Aktenzeichen Kanzlei: PoPo-2026-VR-0617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