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Abschlussvermerk</w:t>
      </w:r>
    </w:p>
    <w:p>
      <w:pPr>
        <w:jc w:val="left"/>
      </w:pPr>
      <w:r>
        <w:rPr>
          <w:b/>
        </w:rPr>
        <w:t>Kanzlei:</w:t>
      </w:r>
      <w:r>
        <w:t xml:space="preserve"> Pohlmann &amp; Pohlmann Rechtsanwälte PartG mbB</w:t>
      </w:r>
    </w:p>
    <w:p>
      <w:pPr>
        <w:jc w:val="left"/>
      </w:pPr>
      <w:r>
        <w:rPr>
          <w:b/>
        </w:rPr>
        <w:t>Bearbeitung:</w:t>
      </w:r>
      <w:r>
        <w:t xml:space="preserve"> RAin Dr. Friederike Hesselmann-Sauerbruch</w:t>
      </w:r>
    </w:p>
    <w:p>
      <w:pPr>
        <w:jc w:val="left"/>
      </w:pPr>
      <w:r>
        <w:rPr>
          <w:b/>
        </w:rPr>
        <w:t>Mandantin:</w:t>
      </w:r>
      <w:r>
        <w:t xml:space="preserve"> Initiative Lausitzer Lebensraum e.V.</w:t>
      </w:r>
    </w:p>
    <w:p>
      <w:pPr>
        <w:jc w:val="left"/>
      </w:pPr>
      <w:r>
        <w:rPr>
          <w:b/>
        </w:rPr>
        <w:t>AZ:</w:t>
      </w:r>
      <w:r>
        <w:t xml:space="preserve"> PoPo-2026-VR-0617</w:t>
      </w:r>
    </w:p>
    <w:p>
      <w:pPr>
        <w:jc w:val="left"/>
      </w:pPr>
      <w:r>
        <w:rPr>
          <w:b/>
        </w:rPr>
        <w:t>Datum:</w:t>
      </w:r>
      <w:r>
        <w:t xml:space="preserve"> Montag, 15.06.2026, 11:00 Uhr</w:t>
      </w:r>
    </w:p>
    <w:p>
      <w:pPr>
        <w:pStyle w:val="Heading2"/>
      </w:pPr>
      <w:r>
        <w:rPr>
          <w:rFonts w:ascii="Times New Roman" w:hAnsi="Times New Roman"/>
        </w:rPr>
        <w:t>I. Ergebnis</w:t>
      </w:r>
    </w:p>
    <w:p>
      <w:pPr>
        <w:jc w:val="left"/>
      </w:pPr>
      <w:r>
        <w:t xml:space="preserve">Die Anti-Kohle-Versammlung am 13.06.2026 in Forst (Lausitz) hat </w:t>
      </w:r>
      <w:r>
        <w:rPr>
          <w:b/>
        </w:rPr>
        <w:t>vollumfänglich nach Maßgabe des VG-Cottbus-Beschlusses</w:t>
      </w:r>
      <w:r>
        <w:t xml:space="preserve"> stattgefunden. Sie verlief friedlich; alle gerichtlich modifizierten Auflagen wurden eingehalten. Die Polizei hat ihren ex-post-Bericht versöhnlich gehalten und auf Beschwerde verzichtet.</w:t>
      </w:r>
    </w:p>
    <w:p>
      <w:pPr>
        <w:pStyle w:val="Heading2"/>
      </w:pPr>
      <w:r>
        <w:rPr>
          <w:rFonts w:ascii="Times New Roman" w:hAnsi="Times New Roman"/>
        </w:rPr>
        <w:t>II. Erkenntnisse für die Mandantsbetreuung</w:t>
      </w:r>
    </w:p>
    <w:p>
      <w:pPr>
        <w:pStyle w:val="Heading3"/>
      </w:pPr>
      <w:r>
        <w:rPr>
          <w:rFonts w:ascii="Times New Roman" w:hAnsi="Times New Roman"/>
        </w:rPr>
        <w:t>1. Brokdorf-Linie hat sich erneut bewährt</w:t>
      </w:r>
    </w:p>
    <w:p>
      <w:pPr>
        <w:jc w:val="left"/>
      </w:pPr>
      <w:r>
        <w:t xml:space="preserve">BVerfGE 69, 315 ist nach wie vor das </w:t>
      </w:r>
      <w:r>
        <w:rPr>
          <w:b/>
        </w:rPr>
        <w:t>dogmatische Fundament</w:t>
      </w:r>
      <w:r>
        <w:t xml:space="preserve"> in versammlungsrechtlichen Streitigkeiten. Die Versammlungsbehörde — hier PolInsp Spree-Neiße — hatte ihre Auflagen auf pauschale Sicherheitsbedenken gestützt; das VG Cottbus hat dem konsequent eine Absage erteilt.</w:t>
      </w:r>
    </w:p>
    <w:p>
      <w:pPr>
        <w:pStyle w:val="Heading3"/>
      </w:pPr>
      <w:r>
        <w:rPr>
          <w:rFonts w:ascii="Times New Roman" w:hAnsi="Times New Roman"/>
        </w:rPr>
        <w:t>2. Konkretheit der Gefahrenprognose ist entscheidend</w:t>
      </w:r>
    </w:p>
    <w:p>
      <w:pPr>
        <w:jc w:val="left"/>
      </w:pPr>
      <w:r>
        <w:t>Die Verfügung der PolInsp SPN nannte zwar Vergleichsfälle (Lützerath, Welzow), legte aber nicht dar, warum gerade diese Versammlung in Forst das gleiche Risikopotential aufweisen sollte. Vergleichsgruppe und konkrete Übertragung müssen in der Begründung sauber getrennt werden.</w:t>
      </w:r>
    </w:p>
    <w:p>
      <w:pPr>
        <w:pStyle w:val="Heading3"/>
      </w:pPr>
      <w:r>
        <w:rPr>
          <w:rFonts w:ascii="Times New Roman" w:hAnsi="Times New Roman"/>
        </w:rPr>
        <w:t>3. Schalltechnisches Gutachten war zentral</w:t>
      </w:r>
    </w:p>
    <w:p>
      <w:pPr>
        <w:jc w:val="left"/>
      </w:pPr>
      <w:r>
        <w:t xml:space="preserve">Das Burgkrieger-Naumann-Gutachten (Anlage A 10 des Eilantrags) hat das Gericht beeindruckt. Eine reine Rechtsargumentation hätte für die Modifikation der Auflage 4 nicht gereicht — das technische Gutachten lieferte den </w:t>
      </w:r>
      <w:r>
        <w:rPr>
          <w:b/>
        </w:rPr>
        <w:t>harten Befund</w:t>
      </w:r>
      <w:r>
        <w:t>, dass 75 dB(A) faktisch ein Lautsprecherverbot bedeutet.</w:t>
      </w:r>
    </w:p>
    <w:p>
      <w:pPr>
        <w:pStyle w:val="Heading3"/>
      </w:pPr>
      <w:r>
        <w:rPr>
          <w:rFonts w:ascii="Times New Roman" w:hAnsi="Times New Roman"/>
        </w:rPr>
        <w:t>4. Performance-Konzept als Entlastungswerkzeug</w:t>
      </w:r>
    </w:p>
    <w:p>
      <w:pPr>
        <w:jc w:val="left"/>
      </w:pPr>
      <w:r>
        <w:t>Das detaillierte Performance-Konzept (Anlage A 9) hat den entscheidenden Beitrag zur Aufhebung von Auflage 6 geleistet. Künstlerische Inhalte einer Versammlung sind nicht nur durch Art. 8 GG, sondern zusätzlich durch Art. 5 III GG geschützt; diese Doppelschicht hat das Gericht überzeugt.</w:t>
      </w:r>
    </w:p>
    <w:p>
      <w:pPr>
        <w:pStyle w:val="Heading3"/>
      </w:pPr>
      <w:r>
        <w:rPr>
          <w:rFonts w:ascii="Times New Roman" w:hAnsi="Times New Roman"/>
        </w:rPr>
        <w:t>5. Pyrotechnikverbot war hinnehmbar</w:t>
      </w:r>
    </w:p>
    <w:p>
      <w:pPr>
        <w:jc w:val="left"/>
      </w:pPr>
      <w:r>
        <w:t>Auflage 3 wurde nicht angegriffen. Strategisch klug — Veranstalter hat ohnehin auf Pyrotechnik verzichtet, sodass kein Konflikt entstand und das Gericht in den anderen Auflagen großzügiger entscheiden konnte.</w:t>
      </w:r>
    </w:p>
    <w:p>
      <w:pPr>
        <w:pStyle w:val="Heading2"/>
      </w:pPr>
      <w:r>
        <w:rPr>
          <w:rFonts w:ascii="Times New Roman" w:hAnsi="Times New Roman"/>
        </w:rPr>
        <w:t>III. Kosten</w:t>
      </w:r>
    </w:p>
    <w:p>
      <w:pPr>
        <w:pStyle w:val="ListBullet"/>
      </w:pPr>
      <w:r>
        <w:t>Streitwert: 7.500 EUR</w:t>
      </w:r>
    </w:p>
    <w:p>
      <w:pPr>
        <w:pStyle w:val="ListBullet"/>
      </w:pPr>
      <w:r>
        <w:t>Verfahrenskosten VG Cottbus: 1.054 EUR (Antragstellerin trägt 1/6 = 175,67 EUR)</w:t>
      </w:r>
    </w:p>
    <w:p>
      <w:pPr>
        <w:pStyle w:val="ListBullet"/>
      </w:pPr>
      <w:r>
        <w:t>Anwaltskosten (Hesselmann-Sauerbruch): nach RVG 1,3 Verfahrensgebühr + 1,2 Terminsgebühr (entfällt, weil mündliche Verhandlung nicht stattfand) + Auslagen = 2.184 EUR</w:t>
      </w:r>
    </w:p>
    <w:p>
      <w:pPr>
        <w:pStyle w:val="ListBullet"/>
      </w:pPr>
      <w:r>
        <w:t>Sachverständiger Burgkrieger: 1.488 EUR</w:t>
      </w:r>
    </w:p>
    <w:p>
      <w:pPr>
        <w:jc w:val="left"/>
      </w:pPr>
      <w:r>
        <w:rPr>
          <w:b/>
        </w:rPr>
        <w:t>Gesamtkosten Mandantin:</w:t>
      </w:r>
      <w:r>
        <w:t xml:space="preserve"> ca. 3.850 EUR</w:t>
      </w:r>
    </w:p>
    <w:p>
      <w:pPr>
        <w:pStyle w:val="Heading2"/>
      </w:pPr>
      <w:r>
        <w:rPr>
          <w:rFonts w:ascii="Times New Roman" w:hAnsi="Times New Roman"/>
        </w:rPr>
        <w:t>IV. Empfehlung für Folge-Anmeldungen</w:t>
      </w:r>
    </w:p>
    <w:p>
      <w:pPr>
        <w:jc w:val="left"/>
      </w:pPr>
      <w:r>
        <w:t>Sollte die Initiative künftig erneut Versammlungen anmelden, empfehle ich:</w:t>
      </w:r>
    </w:p>
    <w:p>
      <w:pPr>
        <w:pStyle w:val="ListBullet"/>
      </w:pPr>
      <w:r>
        <w:t xml:space="preserve">Anmeldung möglichst </w:t>
      </w:r>
      <w:r>
        <w:rPr>
          <w:b/>
        </w:rPr>
        <w:t>frühzeitig (14 Tage vor Versammlung)</w:t>
      </w:r>
      <w:r>
        <w:t>, um Vorlauf für Auflagenverfügungen zu schaffen.</w:t>
      </w:r>
    </w:p>
    <w:p>
      <w:pPr>
        <w:pStyle w:val="ListBullet"/>
      </w:pPr>
      <w:r>
        <w:t>Vorab-Kooperationsgespräch mit Polizei und Ordnungsamt.</w:t>
      </w:r>
    </w:p>
    <w:p>
      <w:pPr>
        <w:pStyle w:val="ListBullet"/>
      </w:pPr>
      <w:r>
        <w:t>Performance-/Aktionskonzepte schriftlich dokumentieren.</w:t>
      </w:r>
    </w:p>
    <w:p>
      <w:pPr>
        <w:pStyle w:val="ListBullet"/>
      </w:pPr>
      <w:r>
        <w:t>Schalltechniker frühzeitig einbeziehen.</w:t>
      </w:r>
    </w:p>
    <w:p>
      <w:pPr>
        <w:pStyle w:val="Heading2"/>
      </w:pPr>
      <w:r>
        <w:rPr>
          <w:rFonts w:ascii="Times New Roman" w:hAnsi="Times New Roman"/>
        </w:rPr>
        <w:t>V. Mandatsstatus</w:t>
      </w:r>
    </w:p>
    <w:p>
      <w:pPr>
        <w:jc w:val="left"/>
      </w:pPr>
      <w:r>
        <w:t xml:space="preserve">Mandat wird mit diesem Vermerk </w:t>
      </w:r>
      <w:r>
        <w:rPr>
          <w:b/>
        </w:rPr>
        <w:t>abgeschlossen</w:t>
      </w:r>
      <w:r>
        <w:t>. Akte wird zur Aufbewahrung (5 Jahre, § 50 BRAO) abgelegt.</w:t>
      </w:r>
    </w:p>
    <w:p>
      <w:pPr>
        <w:jc w:val="left"/>
      </w:pPr>
      <w:r>
        <w:t xml:space="preserve">gez. </w:t>
      </w:r>
      <w:r>
        <w:rPr>
          <w:b/>
        </w:rPr>
        <w:t>Dr. Friederike Hesselmann-Sauerbruch</w:t>
      </w:r>
    </w:p>
    <w:p>
      <w:pPr>
        <w:jc w:val="left"/>
      </w:pPr>
      <w:r>
        <w:t>Rechtsanwältin, Fachanwältin für Verwaltungsrecht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Pohlmann &amp; Pohlmann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POHLMANN &amp; POHLMANN RECHTSANWÄLTE PARTG MBB</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