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rFonts w:ascii="Times New Roman" w:hAnsi="Times New Roman"/>
        </w:rPr>
        <w:t>Entwurf nächster Schritt</w:t>
      </w:r>
    </w:p>
    <w:p>
      <w:pPr>
        <w:pStyle w:val="Heading2"/>
      </w:pPr>
      <w:r>
        <w:rPr>
          <w:rFonts w:ascii="Times New Roman" w:hAnsi="Times New Roman"/>
        </w:rPr>
        <w:t>Rückfragen an die Mandantin</w:t>
      </w:r>
    </w:p>
    <w:p>
      <w:pPr>
        <w:pStyle w:val="ListNumber"/>
      </w:pPr>
      <w:r>
        <w:t>Bitte senden Sie den vollständigen Behördenbescheid oder das letzte Schreiben des Landkreises mit Datum und Rechtsbehelfsbelehrung.</w:t>
      </w:r>
    </w:p>
    <w:p>
      <w:pPr>
        <w:pStyle w:val="ListNumber"/>
      </w:pPr>
      <w:r>
        <w:t>Bitte bestätigen Sie, welche PDF-Datei aus welcher Quelle stammt und ob es noch ein Foto des Titelblatts gibt.</w:t>
      </w:r>
    </w:p>
    <w:p>
      <w:pPr>
        <w:pStyle w:val="ListNumber"/>
      </w:pPr>
      <w:r>
        <w:t>Bitte senden Sie den aktuellen Grundbuchauszug, die Flurkarte und den alten Familienvermerk als einzelne Dateien.</w:t>
      </w:r>
    </w:p>
    <w:p>
      <w:pPr>
        <w:pStyle w:val="ListNumber"/>
      </w:pPr>
      <w:r>
        <w:t>Bitte keine Behauptung gegenüber der Behörde aufstellen, das PrALR gelte heute unmittelbar, bevor Ort, Landesrecht und Rechtsprechung geprüft sind.</w:t>
      </w:r>
    </w:p>
    <w:p>
      <w:pPr>
        <w:pStyle w:val="Heading2"/>
      </w:pPr>
      <w:r>
        <w:rPr>
          <w:rFonts w:ascii="Times New Roman" w:hAnsi="Times New Roman"/>
        </w:rPr>
        <w:t>Vorläufige Mandantenantwort</w:t>
      </w:r>
    </w:p>
    <w:p>
      <w:pPr>
        <w:jc w:val="left"/>
      </w:pPr>
      <w:r>
        <w:t>Das historische Landrecht kann für die Argumentation interessant sein, vor allem wegen des Aufopferungsgedankens und möglicher alter Nachbarrechtslinien. Für ein heutiges Vorgehen müssen wir aber sauber trennen: heutige Anspruchsgrundlage, historische Herleitung, tatsächliche Ursache des Wasserstaus und Beweisbarkeit. Die beiden PrALR-PDFs werden wir als getrennte Textzeugen behandeln und nicht vermischen.</w:t>
      </w:r>
    </w:p>
    <w:p>
      <w:pPr>
        <w:pStyle w:val="Heading2"/>
      </w:pPr>
      <w:r>
        <w:rPr>
          <w:rFonts w:ascii="Times New Roman" w:hAnsi="Times New Roman"/>
        </w:rPr>
        <w:t>Arbeitsplan</w:t>
      </w:r>
    </w:p>
    <w:p>
      <w:pPr>
        <w:pStyle w:val="ListBullet"/>
      </w:pPr>
      <w:r>
        <w:t>Digitalisate: Titelblatt, Jahr, Band und Fundstellen sichern.</w:t>
      </w:r>
    </w:p>
    <w:p>
      <w:pPr>
        <w:pStyle w:val="ListBullet"/>
      </w:pPr>
      <w:r>
        <w:t>Heute: Wasserrecht, Staatshaftung, Nachbarrecht und Rechtsweg prüfen.</w:t>
      </w:r>
    </w:p>
    <w:p>
      <w:pPr>
        <w:pStyle w:val="ListBullet"/>
      </w:pPr>
      <w:r>
        <w:t>Tatsachen: Durchlass, alte Bauakte, Starkregen, Unterhaltungspflicht und Kausalität klären.</w:t>
      </w:r>
    </w:p>
    <w:p>
      <w:pPr>
        <w:pStyle w:val="ListBullet"/>
      </w:pPr>
      <w:r>
        <w:t>Output: Kurzvermerk an Mandantin und ggf. behördliches Akteneinsichtsschreiben.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417" w:right="1417" w:bottom="1417" w:left="1417" w:header="680" w:footer="567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tabs>
        <w:tab w:pos="9071" w:val="right"/>
      </w:tabs>
      <w:jc w:val="left"/>
    </w:pPr>
    <w:r>
      <w:rPr>
        <w:rFonts w:ascii="Times New Roman" w:hAnsi="Times New Roman"/>
        <w:color w:val="6B6B66"/>
        <w:sz w:val="16"/>
      </w:rPr>
    </w:r>
    <w:r>
      <w:rPr>
        <w:rFonts w:ascii="Times New Roman" w:hAnsi="Times New Roman"/>
        <w:color w:val="6B6B66"/>
        <w:sz w:val="16"/>
      </w:rPr>
      <w:t>Bitte keine Behauptung gegenüber der Behörde aufstellen</w:t>
    </w:r>
    <w:r>
      <w:rPr>
        <w:rFonts w:ascii="Times New Roman" w:hAnsi="Times New Roman"/>
        <w:color w:val="6B6B66"/>
        <w:sz w:val="16"/>
      </w:rPr>
      <w:tab/>
      <w:t xml:space="preserve">Seite </w:t>
    </w:r>
    <w:r>
      <w:rPr>
        <w:rFonts w:ascii="Times New Roman" w:hAnsi="Times New Roman"/>
        <w:color w:val="6B6B66"/>
        <w:sz w:val="16"/>
      </w:rPr>
      <w:fldChar w:fldCharType="begin"/>
      <w:instrText xml:space="preserve"> PAGE 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left"/>
    </w:pPr>
    <w:r/>
    <w:r>
      <w:rPr>
        <w:rFonts w:ascii="Times New Roman" w:hAnsi="Times New Roman"/>
        <w:b/>
        <w:color w:val="3B3F45"/>
        <w:sz w:val="24"/>
      </w:rPr>
      <w:t>Bitte keine Behauptung gegenüber der Behörde aufstellen</w:t>
    </w:r>
  </w:p>
  <w:p>
    <w:pPr>
      <w:jc w:val="left"/>
      <w:pBdr>
        <w:bottom w:val="single" w:sz="6" w:space="2" w:color="3B3F45"/>
      </w:pBdr>
    </w:pPr>
    <w:r>
      <w:rPr>
        <w:rFonts w:ascii="Times New Roman" w:hAnsi="Times New Roman"/>
        <w:color w:val="6B6B66"/>
        <w:sz w:val="16"/>
      </w:rPr>
      <w:t>das PrALR gelte heute unmittelbar, bevor Ort, Landesrecht und Rechtsprechung geprüft sind.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Times New Roman" w:hAnsi="Times New Roman"/>
      <w:b/>
      <w:bCs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Times New Roman" w:hAnsi="Times New Roman"/>
      <w:b/>
      <w:bCs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Times New Roman" w:hAnsi="Times New Roman"/>
      <w:b/>
      <w:bCs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