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Frischwind Mobility GmbH</w:t>
      </w:r>
    </w:p>
    <w:p>
      <w:pPr>
        <w:jc w:val="left"/>
      </w:pPr>
      <w:r>
        <w:rPr>
          <w:b/>
        </w:rPr>
        <w:t>Kanzlei:</w:t>
      </w:r>
      <w:r>
        <w:t xml:space="preserve"> Roosendaal Rechtsanwälte, Stuttgart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Bearbeiter:</w:t>
      </w:r>
      <w:r>
        <w:t xml:space="preserve"> RA Markus Roosendaal / RAin Dr. Henrike Sattler-Böhm</w:t>
      </w:r>
    </w:p>
    <w:p>
      <w:pPr>
        <w:jc w:val="left"/>
      </w:pPr>
      <w:r>
        <w:rPr>
          <w:b/>
        </w:rPr>
        <w:t>Datum Erstgespräch:</w:t>
      </w:r>
      <w:r>
        <w:t xml:space="preserve"> 21. Januar 2026, 14:00 Uhr, Videokonferenz</w:t>
      </w:r>
    </w:p>
    <w:p/>
    <w:p>
      <w:pPr>
        <w:pStyle w:val="Heading2"/>
      </w:pPr>
      <w:r>
        <w:rPr>
          <w:rFonts w:ascii="Times New Roman" w:hAnsi="Times New Roman"/>
        </w:rPr>
        <w:t>1. Beteiligte und Mandant</w:t>
      </w:r>
    </w:p>
    <w:p>
      <w:pPr>
        <w:jc w:val="left"/>
      </w:pPr>
      <w:r>
        <w:rPr>
          <w:b/>
        </w:rPr>
        <w:t>Mandantin:</w:t>
      </w:r>
      <w:r>
        <w:t xml:space="preserve"> Frischwind Mobility GmbH, Gothaer Str. 18, 99094 Erfurt</w:t>
      </w:r>
    </w:p>
    <w:p>
      <w:pPr>
        <w:jc w:val="left"/>
      </w:pPr>
      <w:r>
        <w:rPr>
          <w:b/>
        </w:rPr>
        <w:t>HRB:</w:t>
      </w:r>
      <w:r>
        <w:t xml:space="preserve"> Amtsgericht Erfurt, HRB 12 344</w:t>
      </w:r>
    </w:p>
    <w:p>
      <w:pPr>
        <w:jc w:val="left"/>
      </w:pPr>
      <w:r>
        <w:rPr>
          <w:b/>
        </w:rPr>
        <w:t>Geschäftsführung:</w:t>
      </w:r>
      <w:r>
        <w:t xml:space="preserve"> Sven Frischwind (alleinvertretungsberechtigt)</w:t>
      </w:r>
    </w:p>
    <w:p>
      <w:pPr>
        <w:jc w:val="left"/>
      </w:pPr>
      <w:r>
        <w:rPr>
          <w:b/>
        </w:rPr>
        <w:t>CTO:</w:t>
      </w:r>
      <w:r>
        <w:t xml:space="preserve"> Dr. Ilse Pohlmann-Wittfeldt (Prokuristin)</w:t>
      </w:r>
    </w:p>
    <w:p>
      <w:pPr>
        <w:jc w:val="left"/>
      </w:pPr>
      <w:r>
        <w:rPr>
          <w:b/>
        </w:rPr>
        <w:t>CCO:</w:t>
      </w:r>
      <w:r>
        <w:t xml:space="preserve"> Marc Lattermann</w:t>
      </w:r>
    </w:p>
    <w:p>
      <w:pPr>
        <w:jc w:val="left"/>
      </w:pPr>
      <w:r>
        <w:rPr>
          <w:b/>
        </w:rPr>
        <w:t>Erschienene:</w:t>
      </w:r>
      <w:r>
        <w:t xml:space="preserve"> Sven Frischwind (GF), Dr. Ilse Pohlmann-Wittfeldt (CTO), Marc Lattermann (CCO), Herr Thomas Gäbler (Qualitätsleitung)</w:t>
      </w:r>
    </w:p>
    <w:p/>
    <w:p>
      <w:pPr>
        <w:pStyle w:val="Heading2"/>
      </w:pPr>
      <w:r>
        <w:rPr>
          <w:rFonts w:ascii="Times New Roman" w:hAnsi="Times New Roman"/>
        </w:rPr>
        <w:t>2. Ausgangssituation</w:t>
      </w:r>
    </w:p>
    <w:p>
      <w:pPr>
        <w:jc w:val="left"/>
      </w:pPr>
      <w:r>
        <w:t>Frischwind Mobility GmbH stellt seit 2018 Pedelecs der Marke „Wind" für den deutschen und europäischen Markt her. Das Flaggschiffmodell „Wind-X7" ist seit März 2023 auf dem Markt. Kernbauteil ist ein 45-V-Lithium-Ionen-Akku (Modell CT-LI-45-X), bezogen von ChinaTech ShenZhen Co. Ltd. über einen langfristigen Rahmenliefervertrag.</w:t>
      </w:r>
    </w:p>
    <w:p>
      <w:pPr>
        <w:jc w:val="left"/>
      </w:pPr>
      <w:r>
        <w:t>Im März 2025 kam es in Berlin-Köpenick zu einem schwerwiegenden Brandvorfall, bei dem der Bewohner Bogdan Raskolnikow (42 J.) schwere Rauchgasvergiftungen erlitt. Die zuständige Berliner Feuerwehr identifizierte den Akku eines Wind-X7 als Brandquelle. Zwei weitere Vorfälle folgten (Leipzig, August 2025; Stuttgart, Januar 2026).</w:t>
      </w:r>
    </w:p>
    <w:p>
      <w:pPr>
        <w:jc w:val="left"/>
      </w:pPr>
      <w:r>
        <w:t>Die interne Qualitätsabteilung ermittelte im Dezember 2025 einen kritischen Bug in der BMS-Firmware Version 3.9.1: Bei Umgebungstemperaturen über 38 °C kommt es zu unkontrollierten Ladezyklen, die zum thermischen Durchgehen führen können.</w:t>
      </w:r>
    </w:p>
    <w:p>
      <w:pPr>
        <w:jc w:val="left"/>
      </w:pPr>
      <w:r>
        <w:t>Frischwind hat die RAPEX-Meldepflicht nach Art. 11 ProdSG i.V.m. Art. 20 der Marktüberwachungs-VO (EU) 2019/1020 nicht fristgerecht erfüllt. Die Bundesnetzagentur (Marktüberwachungsstelle, MFS-2026-RAPEX-1188) hat ein Anhörungsverfahren eingeleitet. Die StA Erfurt hat am 15. Januar 2026 ein Ermittlungsverfahren gegen Dr. Pohlmann-Wittfeldt wegen § 229 StGB eröffnet.</w:t>
      </w:r>
    </w:p>
    <w:p/>
    <w:p>
      <w:pPr>
        <w:pStyle w:val="Heading2"/>
      </w:pPr>
      <w:r>
        <w:rPr>
          <w:rFonts w:ascii="Times New Roman" w:hAnsi="Times New Roman"/>
        </w:rPr>
        <w:t>3. Interessenkonflikt-Prüfung</w:t>
      </w:r>
    </w:p>
    <w:p>
      <w:pPr>
        <w:pStyle w:val="ListBullet"/>
      </w:pPr>
      <w:r>
        <w:t>Keine mandatswidrigen Interessenkonflikte festgestellt.</w:t>
      </w:r>
    </w:p>
    <w:p>
      <w:pPr>
        <w:pStyle w:val="ListBullet"/>
      </w:pPr>
      <w:r>
        <w:t>Kein laufendes Mandat gegen ChinaTech ShenZhen oder Allianz SE.</w:t>
      </w:r>
    </w:p>
    <w:p>
      <w:pPr>
        <w:pStyle w:val="ListBullet"/>
      </w:pPr>
      <w:r>
        <w:t>Hinweis: Dr. Pohlmann-Wittfeldt ist gleichzeitig Beschuldigte (Strafverfahren) und Vertreterin des Unternehmens. Notwendigkeit separater Strafverteidigung geprüft → Kanzlei übernimmt zivilrechtliche Unternehmensvertretung; für die strafrechtliche Verteidigung wird zusätzlich Fachanwältin für Strafrecht hinzugezogen.</w:t>
      </w:r>
    </w:p>
    <w:p/>
    <w:p>
      <w:pPr>
        <w:pStyle w:val="Heading2"/>
      </w:pPr>
      <w:r>
        <w:rPr>
          <w:rFonts w:ascii="Times New Roman" w:hAnsi="Times New Roman"/>
        </w:rPr>
        <w:t>4. Mandatsumfang (vereinbart)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Beauftragung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Produktsicherheitsrecht / ProdSG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CE-Konformität / EN 15194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Marktüberwachung BNetzA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Produktrückruf-Begleitung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ProdHaftG-Verteidigung (Raskolnikow-Klage)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Versicherungsrecht / Allianz-Streit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Lieferanten-Regress ChinaTech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Strafrecht § 229 StGB CTO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 (separater Strafverteidiger)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Vollmacht</w:t>
      </w:r>
    </w:p>
    <w:p>
      <w:pPr>
        <w:jc w:val="left"/>
      </w:pPr>
      <w:r>
        <w:t>Vollmacht erteilt durch GF Sven Frischwind am 21.01.2026 (original gezeichnet, in Handakte abgelegt).</w:t>
      </w:r>
    </w:p>
    <w:p/>
    <w:p>
      <w:pPr>
        <w:pStyle w:val="Heading2"/>
      </w:pPr>
      <w:r>
        <w:rPr>
          <w:rFonts w:ascii="Times New Roman" w:hAnsi="Times New Roman"/>
        </w:rPr>
        <w:t>6. Erste Handlungsschritte</w:t>
      </w:r>
    </w:p>
    <w:p>
      <w:pPr>
        <w:pStyle w:val="ListNumber"/>
      </w:pPr>
      <w:r>
        <w:t>Fristwahrung: Unverzügliche schriftliche Reaktion auf BNetzA-Anhörungsschreiben (MFS-2026-RAPEX-1188) bis 03.02.2026.</w:t>
      </w:r>
    </w:p>
    <w:p>
      <w:pPr>
        <w:pStyle w:val="ListNumber"/>
      </w:pPr>
      <w:r>
        <w:t>Sicherung: Vollständige Sicherung aller internen Qualitätsdokumente, Prüfberichte, Firmware-Versionshistorie, Lieferantenkorrespondenz.</w:t>
      </w:r>
    </w:p>
    <w:p>
      <w:pPr>
        <w:pStyle w:val="ListNumber"/>
      </w:pPr>
      <w:r>
        <w:t>Intern: Einberufung Krisenstab; Rückrufentscheidung bis 28.01.2026 verbindlich.</w:t>
      </w:r>
    </w:p>
    <w:p>
      <w:pPr>
        <w:pStyle w:val="ListNumber"/>
      </w:pPr>
      <w:r>
        <w:t>Versicherung: Formelle Schadensanzeige an Allianz (Produkthaftpflicht), Deckungsklärung anmahnen.</w:t>
      </w:r>
    </w:p>
    <w:p>
      <w:pPr>
        <w:pStyle w:val="ListNumber"/>
      </w:pPr>
      <w:r>
        <w:t>Strafrecht: Kontakt zur Strafverteidigerin für Dr. Pohlmann-Wittfeldt; Koordination mit Kanzlei.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Mandatsübernahme Frischwind Mobility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Mandatsübernahme Frischwind Mobility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