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Gewerbeaufsicht Thüringen — Vorläufige Untersagung</w:t>
      </w:r>
    </w:p>
    <w:p>
      <w:pPr>
        <w:jc w:val="left"/>
      </w:pPr>
      <w:r>
        <w:rPr>
          <w:b/>
        </w:rPr>
        <w:t>Dokument-Typ:</w:t>
      </w:r>
      <w:r>
        <w:t xml:space="preserve"> Behördenrechtliche Analyse</w:t>
      </w:r>
    </w:p>
    <w:p>
      <w:pPr>
        <w:jc w:val="left"/>
      </w:pPr>
      <w:r>
        <w:rPr>
          <w:b/>
        </w:rPr>
        <w:t>AZ Kanzlei:</w:t>
      </w:r>
      <w:r>
        <w:t xml:space="preserve"> MR-2026-0822</w:t>
      </w:r>
    </w:p>
    <w:p>
      <w:pPr>
        <w:jc w:val="left"/>
      </w:pPr>
      <w:r>
        <w:rPr>
          <w:b/>
        </w:rPr>
        <w:t>Behörde:</w:t>
      </w:r>
      <w:r>
        <w:t xml:space="preserve"> Thüringer Landesamt für Verbraucherschutz (TLV), Abt. Gewerbeaufsicht, Erfurt</w:t>
      </w:r>
    </w:p>
    <w:p/>
    <w:p>
      <w:pPr>
        <w:pStyle w:val="Heading2"/>
      </w:pPr>
      <w:r>
        <w:rPr>
          <w:rFonts w:ascii="Times New Roman" w:hAnsi="Times New Roman"/>
        </w:rPr>
        <w:t>1. Sachverhalt</w:t>
      </w:r>
    </w:p>
    <w:p>
      <w:pPr>
        <w:jc w:val="left"/>
      </w:pPr>
      <w:r>
        <w:t>Am 25. Januar 2026 erging vom Thüringer Landesamt für Verbraucherschutz (TLV), Abteilung Gewerbeaufsicht, an Frischwind Mobility GmbH folgende vorläufige Verfügung:</w:t>
      </w:r>
    </w:p>
    <w:p>
      <w:pPr>
        <w:jc w:val="left"/>
      </w:pPr>
      <w:r>
        <w:t>„Das Inverkehrbringen, der Vertrieb und die Überlassung von Frischwind Wind-X7 Pedelecs (alle Varianten) im Freistaat Thüringen wird vorläufig untersagt. Die Verfügung ist sofort vollziehbar (§ 80 Abs. 2 Nr. 4 VwGO)."</w:t>
      </w:r>
    </w:p>
    <w:p>
      <w:pPr>
        <w:jc w:val="left"/>
      </w:pPr>
      <w:r>
        <w:t>Rechtsgrundlage: § 26 Abs. 2 ProdSG i.V.m. § 35 GewO.</w:t>
      </w:r>
    </w:p>
    <w:p/>
    <w:p>
      <w:pPr>
        <w:pStyle w:val="Heading2"/>
      </w:pPr>
      <w:r>
        <w:rPr>
          <w:rFonts w:ascii="Times New Roman" w:hAnsi="Times New Roman"/>
        </w:rPr>
        <w:t>2. Rechtliche Einordnung</w:t>
      </w:r>
    </w:p>
    <w:p>
      <w:pPr>
        <w:jc w:val="left"/>
      </w:pPr>
      <w:r>
        <w:t>§ 26 Abs. 2 ProdSG erlaubt der zuständigen Behörde, das Inverkehrbringen eines Produkts zu untersagen, wenn das Produkt ein ernstes Risiko für die Gesundheit oder Sicherheit von Personen darstellt. Die sofortige Vollziehbarkeit wurde auf § 80 Abs. 2 Nr. 4 VwGO gestützt (dringendes öffentliches Interesse).</w:t>
      </w:r>
    </w:p>
    <w:p>
      <w:pPr>
        <w:jc w:val="left"/>
      </w:pPr>
      <w:r>
        <w:t>Die Verfügung betrifft formal nur Thüringen; faktisch hat Frischwind bereits einen bundesweiten Verkaufsstopp verhängt.</w:t>
      </w:r>
    </w:p>
    <w:p/>
    <w:p>
      <w:pPr>
        <w:pStyle w:val="Heading2"/>
      </w:pPr>
      <w:r>
        <w:rPr>
          <w:rFonts w:ascii="Times New Roman" w:hAnsi="Times New Roman"/>
        </w:rPr>
        <w:t>3. Widerspruch Roosendaal (03.02.2026)</w:t>
      </w:r>
    </w:p>
    <w:p>
      <w:pPr>
        <w:jc w:val="left"/>
      </w:pPr>
      <w:r>
        <w:t>RA Roosendaal legte fristgerecht Widerspruch ein und beantragte gleichzeitig beim Verwaltungsgericht Weimar die Wiederherstellung der aufschiebenden Wirkung (§ 80 Abs. 5 VwGO):</w:t>
      </w:r>
    </w:p>
    <w:p>
      <w:pPr>
        <w:jc w:val="left"/>
      </w:pPr>
      <w:r>
        <w:rPr>
          <w:b/>
        </w:rPr>
        <w:t>Argumente:</w:t>
      </w:r>
    </w:p>
    <w:p>
      <w:pPr>
        <w:pStyle w:val="ListNumber"/>
      </w:pPr>
      <w:r>
        <w:rPr>
          <w:b/>
        </w:rPr>
        <w:t>Erledigung durch Rückruf:</w:t>
      </w:r>
      <w:r>
        <w:t xml:space="preserve"> Da Frischwind freiwillig alle Wind-X7 zurückruft und keine neuen Einheiten vertreibt, hat die Untersagungsverfügung keinen eigenständigen Regelungsgehalt mehr.</w:t>
      </w:r>
    </w:p>
    <w:p>
      <w:pPr>
        <w:pStyle w:val="ListNumber"/>
      </w:pPr>
      <w:r>
        <w:rPr>
          <w:b/>
        </w:rPr>
        <w:t>Unverhältnismäßigkeit:</w:t>
      </w:r>
      <w:r>
        <w:t xml:space="preserve"> Eine Untersagungsverfügung neben einem laufenden freiwilligen Rückruf verstößt gegen den Verhältnismäßigkeitsgrundsatz; das mildere, gleich effektive Mittel (Rückruf) wurde bereits gewählt.</w:t>
      </w:r>
    </w:p>
    <w:p>
      <w:pPr>
        <w:pStyle w:val="ListNumber"/>
      </w:pPr>
      <w:r>
        <w:rPr>
          <w:b/>
        </w:rPr>
        <w:t>Zuständigkeit:</w:t>
      </w:r>
      <w:r>
        <w:t xml:space="preserve"> Die BNetzA ist bundesweit zuständige Marktüberwachungsbehörde für Pedelecs; die Gewerbeaufsicht Thüringen ist sachlich nicht zuständig neben der BNetzA.</w:t>
      </w:r>
    </w:p>
    <w:p/>
    <w:p>
      <w:pPr>
        <w:pStyle w:val="Heading2"/>
      </w:pPr>
      <w:r>
        <w:rPr>
          <w:rFonts w:ascii="Times New Roman" w:hAnsi="Times New Roman"/>
        </w:rPr>
        <w:t>4. Reaktion TLV und VG Weimar</w:t>
      </w:r>
    </w:p>
    <w:p>
      <w:pPr>
        <w:pStyle w:val="ListBullet"/>
      </w:pPr>
      <w:r>
        <w:rPr>
          <w:b/>
        </w:rPr>
        <w:t>TLV (15.02.2026):</w:t>
      </w:r>
      <w:r>
        <w:t xml:space="preserve"> Sieht vom Vollzug der Verfügung vorläufig ab, solange der Rückruf nachweislich läuft.</w:t>
      </w:r>
    </w:p>
    <w:p>
      <w:pPr>
        <w:pStyle w:val="ListBullet"/>
      </w:pPr>
      <w:r>
        <w:rPr>
          <w:b/>
        </w:rPr>
        <w:t>VG Weimar:</w:t>
      </w:r>
      <w:r>
        <w:t xml:space="preserve"> Antrag auf Wiederherstellung der aufschiebenden Wirkung noch nicht beschieden (Stand März 2026); mündliche Verhandlung angekündigt für April 2026.</w:t>
      </w:r>
    </w:p>
    <w:p/>
    <w:p>
      <w:pPr>
        <w:pStyle w:val="Heading2"/>
      </w:pPr>
      <w:r>
        <w:rPr>
          <w:rFonts w:ascii="Times New Roman" w:hAnsi="Times New Roman"/>
        </w:rPr>
        <w:t>5. Prognose</w:t>
      </w:r>
    </w:p>
    <w:p>
      <w:pPr>
        <w:jc w:val="left"/>
      </w:pPr>
      <w:r>
        <w:t>Die Untersagungsverfügung dürfte im Ergebnis keine praktische Wirkung entfalten, da der Rückruf läuft. Das Verfahren beim VG Weimar wird voraussichtlich im Wege der Erledigung (§ 161 VwGO) beendet. Prozesskostenantrag wegen Erledigung durch TLV-Verhalten prüfenswert.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Dokument-Typ: Behördenrechtliche Analyse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Dokument-Typ: Behördenrechtliche Analyse</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