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Fall 09: ALG I Sperrzeit nach Aufhebungsvertrag</w:t>
      </w:r>
    </w:p>
    <w:p>
      <w:pPr>
        <w:jc w:val="left"/>
      </w:pPr>
      <w:r>
        <w:t>AZ: BSBZ-2026-08-0296</w:t>
      </w:r>
    </w:p>
    <w:p>
      <w:pPr>
        <w:jc w:val="left"/>
      </w:pPr>
      <w:r>
        <w:t>Erstkontakt: 21.08.2026</w:t>
      </w:r>
    </w:p>
    <w:p>
      <w:pPr>
        <w:jc w:val="left"/>
      </w:pPr>
      <w:r>
        <w:t>Bearbeiterin: Dr. Annegret Pellbach-Tannenfels</w:t>
      </w:r>
    </w:p>
    <w:p>
      <w:pPr>
        <w:jc w:val="left"/>
      </w:pPr>
      <w:r>
        <w:t>Status: Widerspruch bei Agentur für Arbeit Köln; wichtiger Grund (Mobbing) dokumentiert</w:t>
      </w:r>
    </w:p>
    <w:p>
      <w:pPr>
        <w:pStyle w:val="Heading2"/>
      </w:pPr>
      <w:r>
        <w:rPr>
          <w:rFonts w:ascii="Times New Roman" w:hAnsi="Times New Roman"/>
        </w:rPr>
        <w:t>Sachverhalt</w:t>
      </w:r>
    </w:p>
    <w:p>
      <w:pPr>
        <w:jc w:val="left"/>
      </w:pPr>
      <w:r>
        <w:t>Klientin: Sabine Lörcher-Heinemann (47), wohnhaft Grevenbroicher Weg 15, 51065 Köln. Zuletzt beschäftigt als Buchhalterin bei der Baufirma NordBau GmbH &amp; Co. KG Köln (Beschäftigung seit 2015). Im Juni 2026 schloss sie einen Aufhebungsvertrag zum 30.06.2026 ab.</w:t>
      </w:r>
    </w:p>
    <w:p>
      <w:pPr>
        <w:jc w:val="left"/>
      </w:pPr>
      <w:r>
        <w:t>Agentur für Arbeit Köln: Sperrzeit 12 Wochen gemäß § 159 Abs. 1 SGB III (versicherungswidriges Verhalten — Arbeitslosigkeit selbst herbeigeführt). ALG I wurde für 12 Wochen ab 01.07.2026 gesperrt; monatlicher Ausfall ca. 1.380 EUR.</w:t>
      </w:r>
    </w:p>
    <w:p>
      <w:pPr>
        <w:jc w:val="left"/>
      </w:pPr>
      <w:r>
        <w:rPr>
          <w:b/>
        </w:rPr>
        <w:t>Einlassung der Klientin:</w:t>
      </w:r>
      <w:r>
        <w:t xml:space="preserve"> Sie habe den Aufhebungsvertrag nur unter erheblichem Druck abgeschlossen. Ihr direkter Vorgesetzter (Herr Grabmann-Rühl, Abteilungsleiter) habe sie über mehrere Monate systematisch gemobbt: öffentliche Demütigungen in Teamsitzungen, willkürliche Aufgabenentzüge, ungerechtfertigte Abmahnungen (März und Mai 2026). Sie habe mehrfach die Personalabteilung eingeschaltet, ohne Ergebnis. Schließlich sei ihr eine betriebsbedingte Kündigung angedroht worden, falls sie den Aufhebungsvertrag nicht unterschreibe.</w:t>
      </w:r>
    </w:p>
    <w:p>
      <w:pPr>
        <w:pStyle w:val="Heading2"/>
      </w:pPr>
      <w:r>
        <w:rPr>
          <w:rFonts w:ascii="Times New Roman" w:hAnsi="Times New Roman"/>
        </w:rPr>
        <w:t>Rechtliche Einschätzung</w:t>
      </w:r>
    </w:p>
    <w:p>
      <w:pPr>
        <w:jc w:val="left"/>
      </w:pPr>
      <w:r>
        <w:rPr>
          <w:b/>
        </w:rPr>
        <w:t>Sperrzeit § 159 SGB III:</w:t>
      </w:r>
    </w:p>
    <w:p>
      <w:pPr>
        <w:pStyle w:val="ListBullet"/>
      </w:pPr>
      <w:r>
        <w:t>Grundsatz: Eigenverschulden (Aufhebungsvertrag) → Sperrzeit 12 Wochen.</w:t>
      </w:r>
    </w:p>
    <w:p>
      <w:pPr>
        <w:pStyle w:val="ListBullet"/>
      </w:pPr>
      <w:r>
        <w:t>Ausnahme: Wichtiger Grund (§ 159 Abs. 1 S. 2 SGB III), der die versicherungswidrige Handlung rechtfertigt.</w:t>
      </w:r>
    </w:p>
    <w:p>
      <w:pPr>
        <w:jc w:val="left"/>
      </w:pPr>
      <w:r>
        <w:rPr>
          <w:b/>
        </w:rPr>
        <w:t>Wichtiger Grund — Mobbing:</w:t>
      </w:r>
    </w:p>
    <w:p>
      <w:pPr>
        <w:pStyle w:val="ListBullet"/>
      </w:pPr>
      <w:r>
        <w:t>Anhaltende Mobbingsituation kann wichtiger Grund sein, wenn die Fortsetzung des Arbeitsverhältnisses unzumutbar war (BSG B 11 AL 13/04 R).</w:t>
      </w:r>
    </w:p>
    <w:p>
      <w:pPr>
        <w:pStyle w:val="ListBullet"/>
      </w:pPr>
      <w:r>
        <w:t>Voraussetzung: Nachweisbarkeit der Mobbinghandlungen.</w:t>
      </w:r>
    </w:p>
    <w:p>
      <w:pPr>
        <w:pStyle w:val="ListBullet"/>
      </w:pPr>
      <w:r>
        <w:t>Belege: E-Mail-Korrespondenz Personalabteilung (liegt vor), Zeugen (Kolleginnen Frau Möller und Frau Teiber), ärztliche Atteste (Burn-out-Diagnose Hausarzt Dr. Henkelmann, Juni 2026).</w:t>
      </w:r>
    </w:p>
    <w:p>
      <w:pPr>
        <w:jc w:val="left"/>
      </w:pPr>
      <w:r>
        <w:rPr>
          <w:b/>
        </w:rPr>
        <w:t>Schadensminderung:</w:t>
      </w:r>
    </w:p>
    <w:p>
      <w:pPr>
        <w:pStyle w:val="ListBullet"/>
      </w:pPr>
      <w:r>
        <w:t>Selbst wenn kein wichtiger Grund anerkannt wird: Sperrzeit kann auf 6 Wochen reduziert werden, wenn Aufhebungsvertrag betriebsbedingt war (BSG B 11 AL 5/02 R).</w:t>
      </w:r>
    </w:p>
    <w:p>
      <w:pPr>
        <w:pStyle w:val="ListBullet"/>
      </w:pPr>
      <w:r>
        <w:t>Verhandlungsposition: Androhung betriebsbedingter Kündigung dokumentiert → faktisch kein freies Handeln der Klientin.</w:t>
      </w:r>
    </w:p>
    <w:p>
      <w:pPr>
        <w:pStyle w:val="Heading2"/>
      </w:pPr>
      <w:r>
        <w:rPr>
          <w:rFonts w:ascii="Times New Roman" w:hAnsi="Times New Roman"/>
        </w:rPr>
        <w:t>Maßnahmen</w:t>
      </w:r>
    </w:p>
    <w:p>
      <w:pPr>
        <w:pStyle w:val="ListNumber"/>
      </w:pPr>
      <w:r>
        <w:t>Beratung 21.08.2026; Sachverhalt protokolliert; Vollmacht</w:t>
      </w:r>
    </w:p>
    <w:p>
      <w:pPr>
        <w:pStyle w:val="ListNumber"/>
      </w:pPr>
      <w:r>
        <w:t>Akteneinsicht Agentur für Arbeit: beantragt 22.08.2026</w:t>
      </w:r>
    </w:p>
    <w:p>
      <w:pPr>
        <w:pStyle w:val="ListNumber"/>
      </w:pPr>
      <w:r>
        <w:t>Widerspruch gegen Sperrzeitbescheid: vorbereitet; Einreichung nach Akteneinsicht</w:t>
      </w:r>
    </w:p>
    <w:p>
      <w:pPr>
        <w:pStyle w:val="ListNumber"/>
      </w:pPr>
      <w:r>
        <w:t>Zeugenliste erstellt (Frau Möller, Frau Teiber)</w:t>
      </w:r>
    </w:p>
    <w:p>
      <w:pPr>
        <w:pStyle w:val="ListNumber"/>
      </w:pPr>
      <w:r>
        <w:t>Ärztliches Attest Dr. Henkelmann als Anlage gesichert</w:t>
      </w:r>
    </w:p>
    <w:p>
      <w:pPr>
        <w:pStyle w:val="Heading2"/>
      </w:pPr>
      <w:r>
        <w:rPr>
          <w:rFonts w:ascii="Times New Roman" w:hAnsi="Times New Roman"/>
        </w:rPr>
        <w:t>Quellen</w:t>
      </w:r>
    </w:p>
    <w:p>
      <w:pPr>
        <w:pStyle w:val="ListBullet"/>
      </w:pPr>
      <w:r>
        <w:t>SGB III §§ 136, 138, 159 (Sperrzeit, wichtiger Grund)</w:t>
      </w:r>
    </w:p>
    <w:p>
      <w:pPr>
        <w:pStyle w:val="ListBullet"/>
      </w:pPr>
      <w:r>
        <w:t>openjur.de: BSG B 11 AL 13/04 R (Mobbing als wichtiger Grund)</w:t>
      </w:r>
    </w:p>
    <w:p>
      <w:pPr>
        <w:pStyle w:val="ListBullet"/>
      </w:pPr>
      <w:r>
        <w:t>BSG B 11 AL 5/02 R (Sperrzeit bei erzwungenem Aufhebungsvertrag)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Status: Widerspruch bei Agentur für Arbeit Köln; wichtiger Grund (Mobbing) dokumentiert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Status: Widerspruch bei Agentur für Arbeit Köln; wichtiger Grund (Mobbing) dokumentiert</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