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6372D"/>
          <w:sz w:val="26"/>
        </w:rPr>
        <w:t>DRACHENSTEIN | BURGHOLZ-KREBS | PARTNER</w:t>
      </w:r>
    </w:p>
    <w:p>
      <w:pPr>
        <w:jc w:val="center"/>
      </w:pPr>
      <w:r>
        <w:t>Rechtsanwälte mbB | Maximilianstraße 18 | 93047 Regensburg</w:t>
      </w:r>
    </w:p>
    <w:p>
      <w:pPr>
        <w:jc w:val="center"/>
      </w:pPr>
      <w:r>
        <w:t>Telefon 0941 74890-0 | Telefax 0941 74890-30 | post@drachenstein-partner.de</w:t>
      </w:r>
    </w:p>
    <w:p>
      <w:r>
        <w:t>Unser Zeichen: BK/391-24 | Gerichtsaktenzeichen: 4 O 1287/24 | 19. Juli 2024</w:t>
      </w:r>
    </w:p>
    <w:p>
      <w:r>
        <w:t>An das</w:t>
        <w:br/>
        <w:t>Landgericht Regensburg</w:t>
        <w:br/>
        <w:t>4. Zivilkammer</w:t>
        <w:br/>
        <w:t>Augustenstraße 5</w:t>
        <w:br/>
        <w:t>93049 Regensburg</w:t>
        <w:br/>
        <w:br/>
        <w:t>Über das besondere elektronische Anwaltspostfach</w:t>
      </w:r>
    </w:p>
    <w:p>
      <w:pPr>
        <w:pStyle w:val="Heading1"/>
      </w:pPr>
      <w:r>
        <w:t>Klageerwiderung</w:t>
      </w:r>
    </w:p>
    <w:p>
      <w:r>
        <w:t>In dem Rechtsstreit Hartmut Sieglinger gegen Burgwald Energietechnik GmbH, 4 O 1287/24, zeigen wir die Vertretung der Beklagten an.</w:t>
      </w:r>
    </w:p>
    <w:p>
      <w:pPr>
        <w:pStyle w:val="Heading1"/>
      </w:pPr>
      <w:r>
        <w:t>Antrag</w:t>
      </w:r>
    </w:p>
    <w:p>
      <w:r>
        <w:t>Die Klage wird abgewiesen.</w:t>
      </w:r>
    </w:p>
    <w:p>
      <w:pPr>
        <w:pStyle w:val="Heading1"/>
      </w:pPr>
      <w:r>
        <w:t>I. Vorbemerkung</w:t>
      </w:r>
    </w:p>
    <w:p>
      <w:r>
        <w:t>Die Beklagte bestreitet nicht, dass es nach Inbetriebnahme einzelne Störmeldungen gab. Sie bestreitet jedoch einen Planungs- oder Montagefehler, die behauptete Höhe des Minderertrags sowie den Ursachenzusammenhang zwischen ihrer Leistung und dem Wassereintritt. Der Kläger vermischt installierte Nennleistung in kWp mit erzeugter elektrischer Arbeit in kWh und vergleicht unterschiedliche Zeiträume.</w:t>
      </w:r>
    </w:p>
    <w:p>
      <w:pPr>
        <w:pStyle w:val="Heading1"/>
      </w:pPr>
      <w:r>
        <w:t>II. Vertragsinhalt und Ertragsprognose</w:t>
      </w:r>
    </w:p>
    <w:p>
      <w:r>
        <w:t>Gegenstand des Vertrags war die Lieferung und Montage von 188 Modulen zu je 450 Watt sowie drei Wechselrichtern. Die Angabe 84,6 kWp bezeichnet die Summe der Modul-Nennleistungen unter Standard-Testbedingungen. Eine Garantie eines bestimmten Jahresertrags wurde nicht vereinbart. Die Angebotsanlage enthält eine unverbindliche Modellrechnung von 80100 kWh für ein mittleres Wetterjahr und weist ausdrücklich auf Verschattung, Verschmutzung, Netzabschaltungen und Alterung hin.</w:t>
      </w:r>
    </w:p>
    <w:p>
      <w:r>
        <w:t>Beweis: vollständiges Angebot vom 27. September 2022, Anlage B 1; Zeugnis der Vertriebsmitarbeiterin Martina Eder, zu laden über die Beklagte.</w:t>
      </w:r>
    </w:p>
    <w:p>
      <w:pPr>
        <w:pStyle w:val="Heading1"/>
      </w:pPr>
      <w:r>
        <w:t>III. Ausführung und Abnahme</w:t>
      </w:r>
    </w:p>
    <w:p>
      <w:r>
        <w:t>Die Unterkonstruktion wurde nach dem Montageplan des Herstellers Huber-Rail gesetzt. Dachdeckermeister Markus Falk führte am 20. März 2023 eine Sichtkontrolle der Durchdringungen aus. Das Abnahmeprotokoll vom 22. März 2023 enthält keinen Vorbehalt zu Dachanschlüssen, Wechselrichtern oder Ertragswerten. Das Elektroprüfprotokoll wurde am 31. März 2023 übersandt.</w:t>
      </w:r>
    </w:p>
    <w:p>
      <w:r>
        <w:t>Beweis: Montageplan Huber-Rail, Anlage B 2; Prüfprotokoll Elektro, Anlage B 3; Zeugnis Markus Falk, Am Gewerbering 9, 93128 Regenstauf.</w:t>
      </w:r>
    </w:p>
    <w:p>
      <w:pPr>
        <w:pStyle w:val="Heading1"/>
      </w:pPr>
      <w:r>
        <w:t>IV. Wechselrichter</w:t>
      </w:r>
    </w:p>
    <w:p>
      <w:r>
        <w:t>Die Störmeldungen im August 2023 fielen in einen Zeitraum wiederholter Netzspannungsabweichungen. Der örtliche Netzbetreiber bestätigte für den 8., 21. und 24. August Schalthandlungen im Niederspannungsnetz. Techniker Saubacher tauschte vorsorglich zwei Temperatursensoren. Danach lag kein dauerhafter Ausfall vor. Die Fehlercodes E-37 und T-19 lassen ohne Herstellerdiagnose weder auf einen Montagefehler noch auf einen Defekt des Gesamtgeräts schließen.</w:t>
      </w:r>
    </w:p>
    <w:p>
      <w:r>
        <w:t>Beweis: Schreiben der Stadtwerke Regensburg vom 2. Dezember 2023, Anlage B 4; Servicebericht vom 4. September 2023, Anlage B 5; Sachverständigengutachten.</w:t>
      </w:r>
    </w:p>
    <w:p>
      <w:pPr>
        <w:pStyle w:val="Heading1"/>
      </w:pPr>
      <w:r>
        <w:t>V. Verschattung und Ertragsvergleich</w:t>
      </w:r>
    </w:p>
    <w:p>
      <w:r>
        <w:t>Westlich des Stallgebäudes befindet sich eine Pappelreihe. Nach den bei der Ortsbesichtigung am 14. Juni 2024 aufgenommenen Bildern reichen die Baumkronen in den Nachmittagsstunden in den Horizont des westlichen Modulfelds. Ob die Bäume neu gepflanzt oder lediglich stark gewachsen sind, ist für den physikalischen Verschattungseffekt unerheblich. Die Ertragsprognose der Beklagten beruhte auf einem unverschatteten Horizontprofil, weil der Kläger bei Vertragsschluss keine dauerhafte Verschattung angegeben hatte.</w:t>
      </w:r>
    </w:p>
    <w:p>
      <w:r>
        <w:t>Die Aufstellung des Klägers enthält ferner das Rumpfjahr 2023 ab Inbetriebnahme, aber keinen witterungsbereinigten Vergleich. Für 2024 errechnet die Beklagte aus dem Anlagenmonitor 73140 kWh einschließlich eines im Klägerexport fehlenden Eigenverbrauchs von 5310 kWh. Der behauptete Wert 67830 kWh ist deshalb zu niedrig.</w:t>
      </w:r>
    </w:p>
    <w:p>
      <w:r>
        <w:t>Beweis: Lichtbilder und Horizontskizze, Anlage B 6; Auswertung Anlagenmonitor, Anlage B 7; Sachverständigengutachten.</w:t>
      </w:r>
    </w:p>
    <w:p>
      <w:pPr>
        <w:pStyle w:val="Heading1"/>
      </w:pPr>
      <w:r>
        <w:t>VI. Wassereintritt</w:t>
      </w:r>
    </w:p>
    <w:p>
      <w:r>
        <w:t>Die Beklagte bestreitet, dass die Dachanschlüsse mangelhaft waren. Auf dem Foto vom 18. November 2023 sind im Traufbereich Lauf- und Reinigungsspuren zu sehen. Der Kläger teilte in seiner E-Mail vom 19. November mit, er habe am Vortag mit Schlauch und Bürste gereinigt. Ob hierbei Wasser entgegen der üblichen Fließrichtung unter die Dachdeckung gedrückt wurde, ist ungeklärt.</w:t>
      </w:r>
    </w:p>
    <w:p>
      <w:r>
        <w:t>Die Notabdichtung des Dachdeckers Lindner erfolgte ohne Beteiligung der Beklagten. Weder die entfernte Dichtmanschette noch die angeblich schräg gesetzte Schraube wurden gesichert. Auch andere Eintrittswege, insbesondere vorhandene Lüfterhauben und eine ältere Firstabdichtung, kommen in Betracht.</w:t>
      </w:r>
    </w:p>
    <w:p>
      <w:pPr>
        <w:pStyle w:val="Heading1"/>
      </w:pPr>
      <w:r>
        <w:t>VII. Nacherfüllung und Schadenshöhe</w:t>
      </w:r>
    </w:p>
    <w:p>
      <w:r>
        <w:t>Die Beklagte hat keine endgültige Nacherfüllungsverweigerung erklärt. Das Schreiben vom 14. April 2024 weist die damalige Forderung über 142860 Euro zurück und bietet zugleich einen gemeinsamen Messtermin mit dem Wechselrichterhersteller an. Der Kläger nahm dieses Angebot nicht an. Er ließ bislang keine abgestimmte Öffnung der Dachanschlüsse zu.</w:t>
      </w:r>
    </w:p>
    <w:p>
      <w:r>
        <w:t>Sämtliche Schadenspositionen werden dem Grunde und der Höhe nach bestritten. Die Stromkostenrechnung berücksichtigt nicht den Eigenverbrauch. Die Reparaturkosten von 23400 Euro beruhen auf dem vollständigen Austausch zweier Wechselrichter, obwohl nur Sensoren beanstandet wurden. Der Heuverlust ist weder durch Lieferscheine noch durch Entsorgungsnachweise belegt. Die Dachkalkulation enthält die Demontage sämtlicher 188 Module, obwohl nach der Fotodokumentation höchstens einzelne Anschlüsse betroffen sein können.</w:t>
      </w:r>
    </w:p>
    <w:p>
      <w:pPr>
        <w:pStyle w:val="Heading1"/>
      </w:pPr>
      <w:r>
        <w:t>VIII. Privatgutachten Wallner</w:t>
      </w:r>
    </w:p>
    <w:p>
      <w:r>
        <w:t>Das Privatgutachten beruht auf einem Ortstermin nach Durchführung der Notabdichtung. Es dokumentiert keine unmittelbare Strangmessung unter reproduzierbaren Bedingungen und legt seiner Kostenannahme einen vollständigen Rückbau zugrunde. Die Beklagte beantragt, ein unabhängiges gerichtliches Gutachten zu Ertrag, Wechselrichtern, Dachanschlüssen und erforderlichen Mangelbeseitigungskosten einzuholen.</w:t>
      </w:r>
    </w:p>
    <w:p>
      <w:pPr>
        <w:pStyle w:val="Heading1"/>
      </w:pPr>
      <w:r>
        <w:t>IX. Anlagen</w:t>
      </w:r>
    </w:p>
    <w:p>
      <w:pPr>
        <w:pStyle w:val="ListBullet"/>
      </w:pPr>
      <w:r>
        <w:t>B 1 Angebot und Ertragsprognose vom 27. September 2022</w:t>
      </w:r>
    </w:p>
    <w:p>
      <w:pPr>
        <w:pStyle w:val="ListBullet"/>
      </w:pPr>
      <w:r>
        <w:t>B 2 Montageplan Huber-Rail</w:t>
      </w:r>
    </w:p>
    <w:p>
      <w:pPr>
        <w:pStyle w:val="ListBullet"/>
      </w:pPr>
      <w:r>
        <w:t>B 3 Elektroprüfprotokoll vom 31. März 2023</w:t>
      </w:r>
    </w:p>
    <w:p>
      <w:pPr>
        <w:pStyle w:val="ListBullet"/>
      </w:pPr>
      <w:r>
        <w:t>B 4 Schreiben Stadtwerke Regensburg vom 2. Dezember 2023</w:t>
      </w:r>
    </w:p>
    <w:p>
      <w:pPr>
        <w:pStyle w:val="ListBullet"/>
      </w:pPr>
      <w:r>
        <w:t>B 5 Servicebericht vom 4. September 2023</w:t>
      </w:r>
    </w:p>
    <w:p>
      <w:pPr>
        <w:pStyle w:val="ListBullet"/>
      </w:pPr>
      <w:r>
        <w:t>B 6 Lichtbilder und Horizontskizze vom 14. Juni 2024</w:t>
      </w:r>
    </w:p>
    <w:p>
      <w:pPr>
        <w:pStyle w:val="ListBullet"/>
      </w:pPr>
      <w:r>
        <w:t>B 7 Auswertung des Anlagenmonitors</w:t>
      </w:r>
    </w:p>
    <w:p>
      <w:pPr>
        <w:pStyle w:val="ListBullet"/>
      </w:pPr>
      <w:r>
        <w:t>B 8 E-Mail des Klägers vom 19. November 2023</w:t>
      </w:r>
    </w:p>
    <w:p>
      <w:r>
        <w:t>Dr. Helene Burgholz-Krebs</w:t>
        <w:br/>
        <w:t>Rechtsanwältin</w:t>
        <w:br/>
        <w:t>Fachanwältin für Bau- und Architektenrecht</w:t>
      </w:r>
    </w:p>
    <w:p>
      <w:r>
        <w:t>Elektronisch übermittelt aus dem besonderen elektronischen Anwaltspostfach der Unterzeichnerin.</w:t>
      </w:r>
    </w:p>
    <w:sectPr w:rsidR="00FC693F" w:rsidRPr="0006063C" w:rsidSect="00034616">
      <w:footerReference w:type="default" r:id="rId9"/>
      <w:headerReference w:type="default" r:id="rId10"/>
      <w:pgSz w:w="11906" w:h="16838"/>
      <w:pgMar w:top="1191" w:right="1191" w:bottom="1020"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jc w:val="left"/>
    </w:pPr>
    <w:r>
      <w:rPr>
        <w:rFonts w:ascii="Times New Roman" w:hAnsi="Times New Roman"/>
        <w:color w:val="6B6B66"/>
        <w:sz w:val="16"/>
      </w:rPr>
    </w:r>
    <w:r>
      <w:rPr>
        <w:rFonts w:ascii="Times New Roman" w:hAnsi="Times New Roman"/>
        <w:color w:val="6B6B66"/>
        <w:sz w:val="16"/>
      </w:rPr>
      <w:t>Rechtsanwälte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2"/>
      </w:rPr>
      <w:t>RECHTSANWÄLTE MBB</w:t>
    </w:r>
  </w:p>
  <w:p>
    <w:pPr>
      <w:jc w:val="left"/>
      <w:pBdr>
        <w:bottom w:val="single" w:sz="8" w:space="2" w:color="7B2D3B"/>
      </w:pBdr>
    </w:pPr>
    <w:r>
      <w:rPr>
        <w:rFonts w:ascii="Times New Roman" w:hAnsi="Times New Roman"/>
        <w:color w:val="6B6B66"/>
        <w:sz w:val="16"/>
      </w:rPr>
      <w:t>Rechtsanwaltskanzlei · aktenzeichen: 4 O 1287/24 | 19. Juli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23364D"/>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365F75"/>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365F7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rial" w:hAnsi="Arial"/>
      <w:b/>
      <w:color w:val="2336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