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3364D"/>
          <w:sz w:val="26"/>
        </w:rPr>
        <w:t>KNOBLAUCH | SPERLING | KROHNSTETTER</w:t>
      </w:r>
    </w:p>
    <w:p>
      <w:pPr>
        <w:jc w:val="center"/>
      </w:pPr>
      <w:r>
        <w:rPr>
          <w:sz w:val="17"/>
        </w:rPr>
        <w:t>Rechtsanwälte PartG mbB | Theresienstraße 19 | 93047 Regensburg</w:t>
      </w:r>
    </w:p>
    <w:p>
      <w:pPr>
        <w:jc w:val="center"/>
      </w:pPr>
      <w:r>
        <w:rPr>
          <w:sz w:val="17"/>
        </w:rPr>
        <w:t>Telefon 0941 560821-0 | Telefax 0941 560821-19 | kanzlei@ksk-regensburg.de</w:t>
      </w:r>
    </w:p>
    <w:tbl>
      <w:tblPr>
        <w:tblW w:type="auto" w:w="0"/>
        <w:jc w:val="right"/>
        <w:tblLayout w:type="fixed"/>
        <w:tblLook w:firstColumn="1" w:firstRow="1" w:lastColumn="0" w:lastRow="0" w:noHBand="0" w:noVBand="1" w:val="04A0"/>
      </w:tblPr>
      <w:tblGrid>
        <w:gridCol w:w="4719"/>
        <w:gridCol w:w="4719"/>
      </w:tblGrid>
      <w:tr>
        <w:tc>
          <w:tcPr>
            <w:tcW w:type="dxa" w:w="5556"/>
            <w:tcMar>
              <w:top w:w="45" w:type="dxa"/>
              <w:start w:w="70" w:type="dxa"/>
              <w:bottom w:w="45" w:type="dxa"/>
              <w:end w:w="70" w:type="dxa"/>
            </w:tcMar>
          </w:tcPr>
          <w:p>
            <w:r>
              <w:rPr>
                <w:b/>
                <w:sz w:val="17"/>
              </w:rPr>
              <w:t>Unser Zeichen</w:t>
            </w:r>
          </w:p>
        </w:tc>
        <w:tc>
          <w:tcPr>
            <w:tcW w:type="dxa" w:w="3402"/>
            <w:tcMar>
              <w:top w:w="45" w:type="dxa"/>
              <w:start w:w="70" w:type="dxa"/>
              <w:bottom w:w="45" w:type="dxa"/>
              <w:end w:w="70" w:type="dxa"/>
            </w:tcMar>
          </w:tcPr>
          <w:p>
            <w:r>
              <w:rPr>
                <w:sz w:val="17"/>
              </w:rPr>
              <w:t>SKS/246-24 HSi</w:t>
            </w:r>
          </w:p>
        </w:tc>
      </w:tr>
      <w:tr>
        <w:tc>
          <w:tcPr>
            <w:tcW w:type="dxa" w:w="5556"/>
            <w:tcMar>
              <w:top w:w="45" w:type="dxa"/>
              <w:start w:w="70" w:type="dxa"/>
              <w:bottom w:w="45" w:type="dxa"/>
              <w:end w:w="70" w:type="dxa"/>
            </w:tcMar>
          </w:tcPr>
          <w:p>
            <w:r>
              <w:rPr>
                <w:b/>
                <w:sz w:val="17"/>
              </w:rPr>
              <w:t>Datum</w:t>
            </w:r>
          </w:p>
        </w:tc>
        <w:tc>
          <w:tcPr>
            <w:tcW w:type="dxa" w:w="3402"/>
            <w:tcMar>
              <w:top w:w="45" w:type="dxa"/>
              <w:start w:w="70" w:type="dxa"/>
              <w:bottom w:w="45" w:type="dxa"/>
              <w:end w:w="70" w:type="dxa"/>
            </w:tcMar>
          </w:tcPr>
          <w:p>
            <w:r>
              <w:rPr>
                <w:sz w:val="17"/>
              </w:rPr>
              <w:t>18. November 2025</w:t>
            </w:r>
          </w:p>
        </w:tc>
      </w:tr>
    </w:tbl>
    <w:p/>
    <w:p>
      <w:pPr>
        <w:pStyle w:val="Heading1"/>
      </w:pPr>
      <w:r>
        <w:t>Aktenvermerk zur Mandantenbesprechung</w:t>
      </w:r>
    </w:p>
    <w:tbl>
      <w:tblPr>
        <w:tblStyle w:val="TableGrid"/>
        <w:tblW w:type="auto" w:w="0"/>
        <w:jc w:val="center"/>
        <w:tblLayout w:type="fixed"/>
        <w:tblLook w:firstColumn="1" w:firstRow="1" w:lastColumn="0" w:lastRow="0" w:noHBand="0" w:noVBand="1" w:val="04A0"/>
      </w:tblPr>
      <w:tblGrid>
        <w:gridCol w:w="4719"/>
        <w:gridCol w:w="4719"/>
      </w:tblGrid>
      <w:tr>
        <w:trPr>
          <w:tblHeader w:val="true"/>
          <w:cantSplit/>
        </w:trPr>
        <w:tc>
          <w:tcPr>
            <w:tcW w:type="dxa" w:w="2268"/>
            <w:shd w:fill="D9E4EA"/>
            <w:vAlign w:val="center"/>
            <w:tcMar>
              <w:top w:w="90" w:type="dxa"/>
              <w:start w:w="110" w:type="dxa"/>
              <w:bottom w:w="90" w:type="dxa"/>
              <w:end w:w="110" w:type="dxa"/>
            </w:tcMar>
          </w:tcPr>
          <w:p>
            <w:r>
              <w:rPr>
                <w:b/>
                <w:sz w:val="17"/>
              </w:rPr>
              <w:t>Punkt</w:t>
            </w:r>
          </w:p>
        </w:tc>
        <w:tc>
          <w:tcPr>
            <w:tcW w:type="dxa" w:w="6690"/>
            <w:shd w:fill="D9E4EA"/>
            <w:vAlign w:val="center"/>
            <w:tcMar>
              <w:top w:w="90" w:type="dxa"/>
              <w:start w:w="110" w:type="dxa"/>
              <w:bottom w:w="90" w:type="dxa"/>
              <w:end w:w="110" w:type="dxa"/>
            </w:tcMar>
          </w:tcPr>
          <w:p>
            <w:r>
              <w:rPr>
                <w:b/>
                <w:sz w:val="17"/>
              </w:rPr>
              <w:t>Angabe</w:t>
            </w:r>
          </w:p>
        </w:tc>
      </w:tr>
      <w:tr>
        <w:trPr>
          <w:cantSplit/>
        </w:trPr>
        <w:tc>
          <w:tcPr>
            <w:tcW w:type="dxa" w:w="2268"/>
            <w:vAlign w:val="center"/>
            <w:tcMar>
              <w:top w:w="90" w:type="dxa"/>
              <w:start w:w="110" w:type="dxa"/>
              <w:bottom w:w="90" w:type="dxa"/>
              <w:end w:w="110" w:type="dxa"/>
            </w:tcMar>
          </w:tcPr>
          <w:p>
            <w:r>
              <w:rPr>
                <w:sz w:val="17"/>
              </w:rPr>
              <w:t>Zeit</w:t>
            </w:r>
          </w:p>
        </w:tc>
        <w:tc>
          <w:tcPr>
            <w:tcW w:type="dxa" w:w="6690"/>
            <w:vAlign w:val="center"/>
            <w:tcMar>
              <w:top w:w="90" w:type="dxa"/>
              <w:start w:w="110" w:type="dxa"/>
              <w:bottom w:w="90" w:type="dxa"/>
              <w:end w:w="110" w:type="dxa"/>
            </w:tcMar>
          </w:tcPr>
          <w:p>
            <w:r>
              <w:rPr>
                <w:sz w:val="17"/>
              </w:rPr>
              <w:t>10:05 Uhr bis 11:22 Uhr</w:t>
            </w:r>
          </w:p>
        </w:tc>
      </w:tr>
      <w:tr>
        <w:trPr>
          <w:cantSplit/>
        </w:trPr>
        <w:tc>
          <w:tcPr>
            <w:tcW w:type="dxa" w:w="2268"/>
            <w:vAlign w:val="center"/>
            <w:tcMar>
              <w:top w:w="90" w:type="dxa"/>
              <w:start w:w="110" w:type="dxa"/>
              <w:bottom w:w="90" w:type="dxa"/>
              <w:end w:w="110" w:type="dxa"/>
            </w:tcMar>
          </w:tcPr>
          <w:p>
            <w:r>
              <w:rPr>
                <w:sz w:val="17"/>
              </w:rPr>
              <w:t>Ort</w:t>
            </w:r>
          </w:p>
        </w:tc>
        <w:tc>
          <w:tcPr>
            <w:tcW w:type="dxa" w:w="6690"/>
            <w:vAlign w:val="center"/>
            <w:tcMar>
              <w:top w:w="90" w:type="dxa"/>
              <w:start w:w="110" w:type="dxa"/>
              <w:bottom w:w="90" w:type="dxa"/>
              <w:end w:w="110" w:type="dxa"/>
            </w:tcMar>
          </w:tcPr>
          <w:p>
            <w:r>
              <w:rPr>
                <w:sz w:val="17"/>
              </w:rPr>
              <w:t>Besprechungszimmer Donau, Theresienstraße 19</w:t>
            </w:r>
          </w:p>
        </w:tc>
      </w:tr>
      <w:tr>
        <w:trPr>
          <w:cantSplit/>
        </w:trPr>
        <w:tc>
          <w:tcPr>
            <w:tcW w:type="dxa" w:w="2268"/>
            <w:vAlign w:val="center"/>
            <w:tcMar>
              <w:top w:w="90" w:type="dxa"/>
              <w:start w:w="110" w:type="dxa"/>
              <w:bottom w:w="90" w:type="dxa"/>
              <w:end w:w="110" w:type="dxa"/>
            </w:tcMar>
          </w:tcPr>
          <w:p>
            <w:r>
              <w:rPr>
                <w:sz w:val="17"/>
              </w:rPr>
              <w:t>Anwesend</w:t>
            </w:r>
          </w:p>
        </w:tc>
        <w:tc>
          <w:tcPr>
            <w:tcW w:type="dxa" w:w="6690"/>
            <w:vAlign w:val="center"/>
            <w:tcMar>
              <w:top w:w="90" w:type="dxa"/>
              <w:start w:w="110" w:type="dxa"/>
              <w:bottom w:w="90" w:type="dxa"/>
              <w:end w:w="110" w:type="dxa"/>
            </w:tcMar>
          </w:tcPr>
          <w:p>
            <w:r>
              <w:rPr>
                <w:sz w:val="17"/>
              </w:rPr>
              <w:t>Hartmut Sieglinger, Dr. Miriam Knoblauch, Referendar Lukas Trauthwein</w:t>
            </w:r>
          </w:p>
        </w:tc>
      </w:tr>
      <w:tr>
        <w:trPr>
          <w:cantSplit/>
        </w:trPr>
        <w:tc>
          <w:tcPr>
            <w:tcW w:type="dxa" w:w="2268"/>
            <w:vAlign w:val="center"/>
            <w:tcMar>
              <w:top w:w="90" w:type="dxa"/>
              <w:start w:w="110" w:type="dxa"/>
              <w:bottom w:w="90" w:type="dxa"/>
              <w:end w:w="110" w:type="dxa"/>
            </w:tcMar>
          </w:tcPr>
          <w:p>
            <w:r>
              <w:rPr>
                <w:sz w:val="17"/>
              </w:rPr>
              <w:t>Anlass</w:t>
            </w:r>
          </w:p>
        </w:tc>
        <w:tc>
          <w:tcPr>
            <w:tcW w:type="dxa" w:w="6690"/>
            <w:vAlign w:val="center"/>
            <w:tcMar>
              <w:top w:w="90" w:type="dxa"/>
              <w:start w:w="110" w:type="dxa"/>
              <w:bottom w:w="90" w:type="dxa"/>
              <w:end w:w="110" w:type="dxa"/>
            </w:tcMar>
          </w:tcPr>
          <w:p>
            <w:r>
              <w:rPr>
                <w:sz w:val="17"/>
              </w:rPr>
              <w:t>Erste Durchsicht des Gerichtsgutachtens vom 28. Oktober 2025</w:t>
            </w:r>
          </w:p>
        </w:tc>
      </w:tr>
    </w:tbl>
    <w:p/>
    <w:p>
      <w:pPr>
        <w:pStyle w:val="Heading1"/>
      </w:pPr>
      <w:r>
        <w:t>1. Angaben zum Ortstermin</w:t>
      </w:r>
    </w:p>
    <w:p>
      <w:r>
        <w:t>Herr Sieglinger schildert, der Sachverständige sei am 16. Juli 2025 um 10:27 Uhr auf den Hof gefahren und um 13:04 Uhr wieder abgefahren. Zunächst habe ein etwa 35-minütiges Gespräch im Büro stattgefunden. Danach seien Technikraum, Stall und Dach begangen worden. Herr Saubacher von der Beklagten sei gegen 10:45 Uhr hinzugekommen.</w:t>
      </w:r>
    </w:p>
    <w:p>
      <w:r>
        <w:t>Nach Erinnerung des Mandanten wurden keine Messgeräte an den Modulsträngen angeschlossen. Die Wechselrichter seien nicht geöffnet worden. Auf dem Dach habe der Sachverständige mehrere Anschlüsse fotografiert und mit dem Finger an zwei Manschetten gedrückt. Eine Demontage habe nicht stattgefunden. Die Feuchtestellen seien vom Stallgang aus angesehen worden.</w:t>
      </w:r>
    </w:p>
    <w:p>
      <w:pPr>
        <w:pStyle w:val="Heading1"/>
      </w:pPr>
      <w:r>
        <w:t>2. Noch vorhandene Unterlagen</w:t>
      </w:r>
    </w:p>
    <w:p>
      <w:pPr>
        <w:pStyle w:val="ListBullet"/>
      </w:pPr>
      <w:r>
        <w:t>Mobiltelefonfotos vom 18. und 19. November 2023, gespeichert auf dem Telefon des Mandanten und auf dem Bürorechner des Hofladens</w:t>
      </w:r>
    </w:p>
    <w:p>
      <w:pPr>
        <w:pStyle w:val="ListBullet"/>
      </w:pPr>
      <w:r>
        <w:t>E-Mail an Burgwald vom 19. November 2023 mit vier angehängten Bildern</w:t>
      </w:r>
    </w:p>
    <w:p>
      <w:pPr>
        <w:pStyle w:val="ListBullet"/>
      </w:pPr>
      <w:r>
        <w:t>Papier-Arbeitszettel des Dachdeckers Lindner vom 21. November 2023</w:t>
      </w:r>
    </w:p>
    <w:p>
      <w:pPr>
        <w:pStyle w:val="ListBullet"/>
      </w:pPr>
      <w:r>
        <w:t>Anlagenmonitor-Export, den Sohn Florian Sieglinger am 3. Oktober 2025 erstellt hat</w:t>
      </w:r>
    </w:p>
    <w:p>
      <w:pPr>
        <w:pStyle w:val="ListBullet"/>
      </w:pPr>
      <w:r>
        <w:t>Stromrechnungen in einem Ordner im Büro der Betriebsleiterin Sabine Kroll</w:t>
      </w:r>
    </w:p>
    <w:p>
      <w:pPr>
        <w:pStyle w:val="ListBullet"/>
      </w:pPr>
      <w:r>
        <w:t>Notiz des Nachbarn Johann Berghofer zu den Pappeln und früheren Schattenverhältnissen</w:t>
      </w:r>
    </w:p>
    <w:p>
      <w:pPr>
        <w:pStyle w:val="Heading1"/>
      </w:pPr>
      <w:r>
        <w:t>3. Abweichungen aus Sicht des Mandanten</w:t>
      </w:r>
    </w:p>
    <w:p>
      <w:r>
        <w:t>Herr Sieglinger kann die Ertragswerte im Gutachten nicht aus eigener Anschauung prüfen. Er weist darauf hin, dass im Monitor ein Teil des Eigenverbrauchs getrennt angezeigt wird. Er erinnert sich außerdem an zwei weitere kurze Wechselrichterausfälle im Oktober und November 2023. Die Aussage, die Pappelreihe sei im Sommer 2023 neu gepflanzt worden, sei falsch; die Bäume stünden nach seiner Erinnerung mindestens seit 2018.</w:t>
      </w:r>
    </w:p>
    <w:p>
      <w:r>
        <w:t>Zum Wassereintritt erklärt der Mandant, er habe am 17. November 2023 nur den begehbaren Traufbereich mit Gartenschlauch und weicher Bürste gereinigt. Er habe nicht nach oben gegen die Dachdeckung gespritzt. Die erste Tropfstelle sei am nächsten Morgen um 5:42 Uhr von Frau Kroll bemerkt worden.</w:t>
      </w:r>
    </w:p>
    <w:p>
      <w:pPr>
        <w:pStyle w:val="Heading1"/>
      </w:pPr>
      <w:r>
        <w:t>4. Offene tatsächliche Fragen</w:t>
      </w:r>
    </w:p>
    <w:p>
      <w:pPr>
        <w:pStyle w:val="ListBullet"/>
      </w:pPr>
      <w:r>
        <w:t>Wo befindet sich die Originaldatei des Monitor-Exports und enthält sie alle Eigenverbrauchswerte?</w:t>
      </w:r>
    </w:p>
    <w:p>
      <w:pPr>
        <w:pStyle w:val="ListBullet"/>
      </w:pPr>
      <w:r>
        <w:t>Sind die Fotos der geöffneten Wechselrichterabdeckung aus dem Winter 2023 vorhanden und wer war bei der Aufnahme dabei?</w:t>
      </w:r>
    </w:p>
    <w:p>
      <w:pPr>
        <w:pStyle w:val="ListBullet"/>
      </w:pPr>
      <w:r>
        <w:t>Welche Heuballen wurden entsorgt, verkauft oder anderweitig verwendet?</w:t>
      </w:r>
    </w:p>
    <w:p>
      <w:pPr>
        <w:pStyle w:val="ListBullet"/>
      </w:pPr>
      <w:r>
        <w:t>Kann Dachdecker Lindner die ausgebaute Manschette oder weitere Fotos noch vorlegen?</w:t>
      </w:r>
    </w:p>
    <w:p>
      <w:pPr>
        <w:pStyle w:val="ListBullet"/>
      </w:pPr>
      <w:r>
        <w:t>Kann Nachbar Vilsmeier das Alter und den Rückschnitt der Pappeln anhand eigener Aufzeichnungen belegen?</w:t>
      </w:r>
    </w:p>
    <w:p>
      <w:r>
        <w:t>Der Mandant bringt am 24. November 2025 den Hofrechner und den Papierordner Strom mit. Frau Kroll soll bis dahin die Rechnungen chronologisch sortieren. Gespräch beendet um 11:22 Uhr.</w:t>
      </w:r>
    </w:p>
    <w:p>
      <w:r>
        <w:t>Dr. Miriam Knoblauch</w:t>
      </w:r>
    </w:p>
    <w:sectPr w:rsidR="00FC693F" w:rsidRPr="0006063C" w:rsidSect="00034616">
      <w:footerReference w:type="default" r:id="rId9"/>
      <w:headerReference w:type="default" r:id="rId10"/>
      <w:pgSz w:w="11906" w:h="16838"/>
      <w:pgMar w:top="1191" w:right="1191" w:bottom="1020"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jc w:val="left"/>
    </w:pPr>
    <w:r>
      <w:rPr>
        <w:rFonts w:ascii="Times New Roman" w:hAnsi="Times New Roman"/>
        <w:color w:val="6B6B66"/>
        <w:sz w:val="16"/>
      </w:rPr>
    </w:r>
    <w:r>
      <w:rPr>
        <w:rFonts w:ascii="Times New Roman" w:hAnsi="Times New Roman"/>
        <w:color w:val="6B6B66"/>
        <w:sz w:val="16"/>
      </w:rPr>
      <w:t>Rechtsanwälte PartG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2"/>
      </w:rPr>
      <w:t>RECHTSANWÄLTE PARTG MBB</w:t>
    </w:r>
  </w:p>
  <w:p>
    <w:pPr>
      <w:jc w:val="left"/>
      <w:pBdr>
        <w:bottom w:val="single" w:sz="8" w:space="2" w:color="1F3864"/>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23364D"/>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365F75"/>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365F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b/>
      <w:color w:val="2336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