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Mandatsnotiz — Erstgespräch Frau Strassburger-Wittenburg</w:t>
      </w:r>
    </w:p>
    <w:p>
      <w:pPr>
        <w:jc w:val="left"/>
      </w:pPr>
      <w:r>
        <w:rPr>
          <w:b/>
        </w:rPr>
        <w:t>Kanzlei Pinneberg, Eschberg und Partner mbB</w:t>
      </w:r>
    </w:p>
    <w:p>
      <w:pPr>
        <w:jc w:val="left"/>
      </w:pPr>
      <w:r>
        <w:t>Kantstrasse 88, 10625 Berlin-Charlottenburg</w:t>
      </w:r>
    </w:p>
    <w:p>
      <w:pPr>
        <w:jc w:val="left"/>
      </w:pPr>
      <w:r>
        <w:rPr>
          <w:b/>
        </w:rPr>
        <w:t>Az.:</w:t>
      </w:r>
      <w:r>
        <w:t xml:space="preserve"> PE-2026-LIQ-0188</w:t>
      </w:r>
    </w:p>
    <w:p>
      <w:pPr>
        <w:jc w:val="left"/>
      </w:pPr>
      <w:r>
        <w:rPr>
          <w:b/>
        </w:rPr>
        <w:t>Datum:</w:t>
      </w:r>
      <w:r>
        <w:t xml:space="preserve"> 12.02.2026, 14:00–15:45 Uhr</w:t>
      </w:r>
    </w:p>
    <w:p>
      <w:pPr>
        <w:jc w:val="left"/>
      </w:pPr>
      <w:r>
        <w:rPr>
          <w:b/>
        </w:rPr>
        <w:t>Anwesend:</w:t>
      </w:r>
      <w:r>
        <w:t xml:space="preserve"> StB/RAin Dr. Cordula Pinneberg-Talheim; Frau Helene Strassburger-Wittenburg (Mandantin); RA Dr. Tobias Eschberg-Roth (Gesellschaftsrecht); StB Konstantin Werthbruch-Lange (extern, telefonisch zugeschaltet)</w:t>
      </w:r>
    </w:p>
    <w:p/>
    <w:p>
      <w:pPr>
        <w:pStyle w:val="Heading2"/>
      </w:pPr>
      <w:r>
        <w:rPr>
          <w:rFonts w:ascii="Times New Roman" w:hAnsi="Times New Roman"/>
        </w:rPr>
        <w:t>1. Anlass</w:t>
      </w:r>
    </w:p>
    <w:p>
      <w:pPr>
        <w:jc w:val="left"/>
      </w:pPr>
      <w:r>
        <w:t>Telefonische Mandatsanbahnung am 04.02.2026 durch StB Werthbruch-Lange. Inhalt: "Wir können nicht weitermachen." Frau Strassburger-Wittenburg sei seit Monaten in Sorge wegen des wirtschaftlichen Niedergangs ihres Familienunternehmens. Geschäftsmodell — B2B-Grosshandel mit gehobener Damenmode an Mittelstands-Boutiquen — sei seit COVID zusammengebrochen; Lager bereits verkauft, Kundenstamm halbiert, keine Aussicht auf Erholung. Steuerberater bittet um juristische Begleitung, weil "die Steuerfrage mit dem Gesellschafterdarlehen so vielschichtig sei, dass wir das alleine nicht durchhalten".</w:t>
      </w:r>
    </w:p>
    <w:p>
      <w:pPr>
        <w:jc w:val="left"/>
      </w:pPr>
      <w:r>
        <w:t>Mandatierungstermin in Präsenz: 12.02.2026, 14:00 Uhr Kantstrasse 88, Konferenzraum II.</w:t>
      </w:r>
    </w:p>
    <w:p/>
    <w:p>
      <w:pPr>
        <w:pStyle w:val="Heading2"/>
      </w:pPr>
      <w:r>
        <w:rPr>
          <w:rFonts w:ascii="Times New Roman" w:hAnsi="Times New Roman"/>
        </w:rPr>
        <w:t>2. Mandantin</w:t>
      </w:r>
    </w:p>
    <w:p>
      <w:pPr>
        <w:pStyle w:val="ListBullet"/>
      </w:pPr>
      <w:r>
        <w:t>Helene Strassburger-Wittenburg, geb. 17.04.1958.</w:t>
      </w:r>
    </w:p>
    <w:p>
      <w:pPr>
        <w:pStyle w:val="ListBullet"/>
      </w:pPr>
      <w:r>
        <w:t>Verwitwet seit 11.09.2019 (Ehemann Joachim Strassburger-Wittenburg verstorben, ehemaliger Mitgesellschafter; Anteil im Wege der Erbfolge auf Helene übergegangen — bestätigt durch HRB-Eintragung 18.12.2019).</w:t>
      </w:r>
    </w:p>
    <w:p>
      <w:pPr>
        <w:pStyle w:val="ListBullet"/>
      </w:pPr>
      <w:r>
        <w:t xml:space="preserve">Eine Tochter: Dr. Marlene Strassburger, Ärztin, lebt in Frankfurt am Main; </w:t>
      </w:r>
      <w:r>
        <w:rPr>
          <w:b/>
        </w:rPr>
        <w:t>kein Interesse, das Unternehmen fortzuführen</w:t>
      </w:r>
      <w:r>
        <w:t>.</w:t>
      </w:r>
    </w:p>
    <w:p>
      <w:pPr>
        <w:pStyle w:val="ListBullet"/>
      </w:pPr>
      <w:r>
        <w:t>Wohnt in einer Eigentumswohnung in der Bleibtreustrasse 14, schuldenfrei.</w:t>
      </w:r>
    </w:p>
    <w:p>
      <w:pPr>
        <w:pStyle w:val="ListBullet"/>
      </w:pPr>
      <w:r>
        <w:t xml:space="preserve">Privatvermögen: Eigentumswohnung (Schätzwert 1,4 Mio. EUR), Wertpapierdepot ca. 480.000 EUR, Sparkonten ca. 95.000 EUR. </w:t>
      </w:r>
      <w:r>
        <w:rPr>
          <w:b/>
        </w:rPr>
        <w:t>Liquidations- und Steuerfragen treffen sie persönlich; das Gesellschafterdarlehen von 2,4 Mio. EUR ist faktisch verloren, aber sie will wissen, ob sie das steuerlich noch nutzen kann.</w:t>
      </w:r>
    </w:p>
    <w:p/>
    <w:p>
      <w:pPr>
        <w:pStyle w:val="Heading2"/>
      </w:pPr>
      <w:r>
        <w:rPr>
          <w:rFonts w:ascii="Times New Roman" w:hAnsi="Times New Roman"/>
        </w:rPr>
        <w:t>3. Sachverhaltsschilderung der Mandantin (Auszug — sinngemäß)</w:t>
      </w:r>
    </w:p>
    <w:p>
      <w:pPr>
        <w:ind w:left="567"/>
      </w:pPr>
      <w:r>
        <w:rPr>
          <w:i/>
        </w:rPr>
        <w:t>"Mein Mann und ich haben den Strassburger Handelshof 1998 gegründet. Wir hatten gute Jahre — die Boutiquen in Berlin, Hamburg, Muenchen, dazu Wien und Zürich. Wir waren ein Familienbetrieb. Nach Joachims Tod 2019 habe ich allein weitergemacht. Dann kam Corona. Die Boutiquen mussten schliessen, manche kamen nicht mehr. Ich habe Geld eingeschossen, immer wieder, vor allem 2018 und 2021, insgesamt 2,4 Millionen Euro aus meinem Witwen-Erbe. Ich habe gedacht, ich kann das durchziehen. Aber seit 2024 weiss ich, dass es nicht mehr geht. Die Kunden sind abgewandert ins Online-Geschäft. Mein Lagerbestand ist seit Ende 2025 abverkauft. Ich habe noch 240.000 Euro auf dem Geschäftskonto und 60.000 Euro offene Forderungen. Lieferanten und Löhne kann ich bezahlen, die Steuern stehen im Stundungsplan. Ich will geordnet auflösen, ohne Insolvenz. Mein Steuerberater sagt aber, das Darlehen könnte am Ende noch einen Sanierungsgewinn auslösen, der versteuert werden müsste — und das verstehe ich nicht."</w:t>
      </w:r>
    </w:p>
    <w:p/>
    <w:p>
      <w:pPr>
        <w:pStyle w:val="Heading2"/>
      </w:pPr>
      <w:r>
        <w:rPr>
          <w:rFonts w:ascii="Times New Roman" w:hAnsi="Times New Roman"/>
        </w:rPr>
        <w:t>4. Erste rechtliche Konfliktkarte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Strang</w:t>
            </w:r>
          </w:p>
        </w:tc>
        <w:tc>
          <w:tcPr>
            <w:tcW w:type="dxa" w:w="3024"/>
          </w:tcPr>
          <w:p>
            <w:r>
              <w:rPr>
                <w:rFonts w:ascii="Times New Roman" w:hAnsi="Times New Roman"/>
                <w:b/>
                <w:sz w:val="20"/>
              </w:rPr>
              <w:t>Frage</w:t>
            </w:r>
          </w:p>
        </w:tc>
        <w:tc>
          <w:tcPr>
            <w:tcW w:type="dxa" w:w="3024"/>
          </w:tcPr>
          <w:p>
            <w:r>
              <w:rPr>
                <w:rFonts w:ascii="Times New Roman" w:hAnsi="Times New Roman"/>
                <w:b/>
                <w:sz w:val="20"/>
              </w:rPr>
              <w:t>Sofortrisiko</w:t>
            </w:r>
          </w:p>
        </w:tc>
      </w:tr>
      <w:tr>
        <w:tc>
          <w:tcPr>
            <w:tcW w:type="dxa" w:w="3024"/>
          </w:tcPr>
          <w:p>
            <w:r>
              <w:rPr>
                <w:rFonts w:ascii="Times New Roman" w:hAnsi="Times New Roman"/>
                <w:sz w:val="20"/>
              </w:rPr>
              <w:t>1</w:t>
            </w:r>
          </w:p>
        </w:tc>
        <w:tc>
          <w:tcPr>
            <w:tcW w:type="dxa" w:w="3024"/>
          </w:tcPr>
          <w:p>
            <w:r>
              <w:rPr>
                <w:rFonts w:ascii="Times New Roman" w:hAnsi="Times New Roman"/>
                <w:sz w:val="20"/>
              </w:rPr>
              <w:t>Liegt Insolvenzantragspflicht vor (§ 15a InsO)?</w:t>
            </w:r>
          </w:p>
        </w:tc>
        <w:tc>
          <w:tcPr>
            <w:tcW w:type="dxa" w:w="3024"/>
          </w:tcPr>
          <w:p>
            <w:r>
              <w:rPr>
                <w:rFonts w:ascii="Times New Roman" w:hAnsi="Times New Roman"/>
                <w:sz w:val="20"/>
              </w:rPr>
              <w:t xml:space="preserve">Nach erster Pruefung </w:t>
            </w:r>
            <w:r>
              <w:rPr>
                <w:rFonts w:ascii="Times New Roman" w:hAnsi="Times New Roman"/>
                <w:b/>
                <w:sz w:val="20"/>
              </w:rPr>
              <w:t>nein</w:t>
            </w:r>
            <w:r>
              <w:rPr>
                <w:rFonts w:ascii="Times New Roman" w:hAnsi="Times New Roman"/>
                <w:sz w:val="20"/>
              </w:rPr>
              <w:t xml:space="preserve"> (Cash deckt fällige Verbindlichkeiten; Rangrücktritt nimmt Darlehen aus § 19 InsO).</w:t>
            </w:r>
          </w:p>
        </w:tc>
      </w:tr>
      <w:tr>
        <w:tc>
          <w:tcPr>
            <w:tcW w:type="dxa" w:w="3024"/>
          </w:tcPr>
          <w:p>
            <w:r>
              <w:rPr>
                <w:rFonts w:ascii="Times New Roman" w:hAnsi="Times New Roman"/>
                <w:sz w:val="20"/>
              </w:rPr>
              <w:t>2</w:t>
            </w:r>
          </w:p>
        </w:tc>
        <w:tc>
          <w:tcPr>
            <w:tcW w:type="dxa" w:w="3024"/>
          </w:tcPr>
          <w:p>
            <w:r>
              <w:rPr>
                <w:rFonts w:ascii="Times New Roman" w:hAnsi="Times New Roman"/>
                <w:sz w:val="20"/>
              </w:rPr>
              <w:t>Wann entsteht der Sanierungsertrag aus dem Gesellschafterdarlehen?</w:t>
            </w:r>
          </w:p>
        </w:tc>
        <w:tc>
          <w:tcPr>
            <w:tcW w:type="dxa" w:w="3024"/>
          </w:tcPr>
          <w:p>
            <w:r>
              <w:rPr>
                <w:rFonts w:ascii="Times New Roman" w:hAnsi="Times New Roman"/>
                <w:sz w:val="20"/>
              </w:rPr>
              <w:t>Kern der Akte. Drei Szenarien (A/B/C).</w:t>
            </w:r>
          </w:p>
        </w:tc>
      </w:tr>
      <w:tr>
        <w:tc>
          <w:tcPr>
            <w:tcW w:type="dxa" w:w="3024"/>
          </w:tcPr>
          <w:p>
            <w:r>
              <w:rPr>
                <w:rFonts w:ascii="Times New Roman" w:hAnsi="Times New Roman"/>
                <w:sz w:val="20"/>
              </w:rPr>
              <w:t>3</w:t>
            </w:r>
          </w:p>
        </w:tc>
        <w:tc>
          <w:tcPr>
            <w:tcW w:type="dxa" w:w="3024"/>
          </w:tcPr>
          <w:p>
            <w:r>
              <w:rPr>
                <w:rFonts w:ascii="Times New Roman" w:hAnsi="Times New Roman"/>
                <w:sz w:val="20"/>
              </w:rPr>
              <w:t>Greift § 5 Abs. 2a EStG bereits in der Liquidationsbilanz?</w:t>
            </w:r>
          </w:p>
        </w:tc>
        <w:tc>
          <w:tcPr>
            <w:tcW w:type="dxa" w:w="3024"/>
          </w:tcPr>
          <w:p>
            <w:r>
              <w:rPr>
                <w:rFonts w:ascii="Times New Roman" w:hAnsi="Times New Roman"/>
                <w:sz w:val="20"/>
              </w:rPr>
              <w:t xml:space="preserve">Pruefung Aktenstück 06. Wenn ja, </w:t>
            </w:r>
            <w:r>
              <w:rPr>
                <w:rFonts w:ascii="Times New Roman" w:hAnsi="Times New Roman"/>
                <w:b/>
                <w:sz w:val="20"/>
              </w:rPr>
              <w:t>vorzeitige</w:t>
            </w:r>
            <w:r>
              <w:rPr>
                <w:rFonts w:ascii="Times New Roman" w:hAnsi="Times New Roman"/>
                <w:sz w:val="20"/>
              </w:rPr>
              <w:t xml:space="preserve"> Realisation des Ertrags.</w:t>
            </w:r>
          </w:p>
        </w:tc>
      </w:tr>
      <w:tr>
        <w:tc>
          <w:tcPr>
            <w:tcW w:type="dxa" w:w="3024"/>
          </w:tcPr>
          <w:p>
            <w:r>
              <w:rPr>
                <w:rFonts w:ascii="Times New Roman" w:hAnsi="Times New Roman"/>
                <w:sz w:val="20"/>
              </w:rPr>
              <w:t>4</w:t>
            </w:r>
          </w:p>
        </w:tc>
        <w:tc>
          <w:tcPr>
            <w:tcW w:type="dxa" w:w="3024"/>
          </w:tcPr>
          <w:p>
            <w:r>
              <w:rPr>
                <w:rFonts w:ascii="Times New Roman" w:hAnsi="Times New Roman"/>
                <w:sz w:val="20"/>
              </w:rPr>
              <w:t>Ist § 3a EStG einschlägig (Steuerbefreiung Sanierungsertrag)?</w:t>
            </w:r>
          </w:p>
        </w:tc>
        <w:tc>
          <w:tcPr>
            <w:tcW w:type="dxa" w:w="3024"/>
          </w:tcPr>
          <w:p>
            <w:r>
              <w:rPr>
                <w:rFonts w:ascii="Times New Roman" w:hAnsi="Times New Roman"/>
                <w:sz w:val="20"/>
              </w:rPr>
              <w:t xml:space="preserve">Aktenstück 11. </w:t>
            </w:r>
            <w:r>
              <w:rPr>
                <w:rFonts w:ascii="Times New Roman" w:hAnsi="Times New Roman"/>
                <w:b/>
                <w:sz w:val="20"/>
              </w:rPr>
              <w:t>Achtung Sanierungseignung — bei Liquidation streitig.</w:t>
            </w:r>
          </w:p>
        </w:tc>
      </w:tr>
      <w:tr>
        <w:tc>
          <w:tcPr>
            <w:tcW w:type="dxa" w:w="3024"/>
          </w:tcPr>
          <w:p>
            <w:r>
              <w:rPr>
                <w:rFonts w:ascii="Times New Roman" w:hAnsi="Times New Roman"/>
                <w:sz w:val="20"/>
              </w:rPr>
              <w:t>5</w:t>
            </w:r>
          </w:p>
        </w:tc>
        <w:tc>
          <w:tcPr>
            <w:tcW w:type="dxa" w:w="3024"/>
          </w:tcPr>
          <w:p>
            <w:r>
              <w:rPr>
                <w:rFonts w:ascii="Times New Roman" w:hAnsi="Times New Roman"/>
                <w:sz w:val="20"/>
              </w:rPr>
              <w:t>Welcher Auflösungsverlust nach § 17 EStG verbleibt Frau Strassburger-Wittenburg?</w:t>
            </w:r>
          </w:p>
        </w:tc>
        <w:tc>
          <w:tcPr>
            <w:tcW w:type="dxa" w:w="3024"/>
          </w:tcPr>
          <w:p>
            <w:r>
              <w:rPr>
                <w:rFonts w:ascii="Times New Roman" w:hAnsi="Times New Roman"/>
                <w:sz w:val="20"/>
              </w:rPr>
              <w:t>Aktenstück 14. Anschaffungskosten 25.000 EUR plus ggf. Darlehensverlust als nachtragliche AK.</w:t>
            </w:r>
          </w:p>
        </w:tc>
      </w:tr>
      <w:tr>
        <w:tc>
          <w:tcPr>
            <w:tcW w:type="dxa" w:w="3024"/>
          </w:tcPr>
          <w:p>
            <w:r>
              <w:rPr>
                <w:rFonts w:ascii="Times New Roman" w:hAnsi="Times New Roman"/>
                <w:sz w:val="20"/>
              </w:rPr>
              <w:t>6</w:t>
            </w:r>
          </w:p>
        </w:tc>
        <w:tc>
          <w:tcPr>
            <w:tcW w:type="dxa" w:w="3024"/>
          </w:tcPr>
          <w:p>
            <w:r>
              <w:rPr>
                <w:rFonts w:ascii="Times New Roman" w:hAnsi="Times New Roman"/>
                <w:sz w:val="20"/>
              </w:rPr>
              <w:t>Welche Gewerbesteuerfolgen (§ 7b GewStG)?</w:t>
            </w:r>
          </w:p>
        </w:tc>
        <w:tc>
          <w:tcPr>
            <w:tcW w:type="dxa" w:w="3024"/>
          </w:tcPr>
          <w:p>
            <w:r>
              <w:rPr>
                <w:rFonts w:ascii="Times New Roman" w:hAnsi="Times New Roman"/>
                <w:sz w:val="20"/>
              </w:rPr>
              <w:t>In 11/12 mitgeführt.</w:t>
            </w:r>
          </w:p>
        </w:tc>
      </w:tr>
    </w:tbl>
    <w:p/>
    <w:p>
      <w:pPr>
        <w:pStyle w:val="Heading2"/>
      </w:pPr>
      <w:r>
        <w:rPr>
          <w:rFonts w:ascii="Times New Roman" w:hAnsi="Times New Roman"/>
        </w:rPr>
        <w:t>5. Mandatszweck</w:t>
      </w:r>
    </w:p>
    <w:p>
      <w:pPr>
        <w:pStyle w:val="ListNumber"/>
      </w:pPr>
      <w:r>
        <w:t>Beratung und Begleitung der geordneten Auflösung (§§ 60 ff. GmbHG) ohne Insolvenz.</w:t>
      </w:r>
    </w:p>
    <w:p>
      <w:pPr>
        <w:pStyle w:val="ListNumber"/>
      </w:pPr>
      <w:r>
        <w:t>Steuerliche Beurteilung und Strukturierung des Gesellschafterdarlehens, Vermeidung eines vermeidbaren Sanierungsertrags ausserhalb des § 3a EStG.</w:t>
      </w:r>
    </w:p>
    <w:p>
      <w:pPr>
        <w:pStyle w:val="ListNumber"/>
      </w:pPr>
      <w:r>
        <w:t>Begleitung des Antrags auf verbindliche Auskunft beim FA Berlin-Charlottenburg.</w:t>
      </w:r>
    </w:p>
    <w:p>
      <w:pPr>
        <w:pStyle w:val="ListNumber"/>
      </w:pPr>
      <w:r>
        <w:t>Erfassung der Privatsteuersituation der Gesellschafterin nach § 17 EStG.</w:t>
      </w:r>
    </w:p>
    <w:p/>
    <w:p>
      <w:pPr>
        <w:pStyle w:val="Heading2"/>
      </w:pPr>
      <w:r>
        <w:rPr>
          <w:rFonts w:ascii="Times New Roman" w:hAnsi="Times New Roman"/>
        </w:rPr>
        <w:t>6. Konfliktinteressenprüfung (§ 43a BRAO, § 3 BORA)</w:t>
      </w:r>
    </w:p>
    <w:p>
      <w:pPr>
        <w:pStyle w:val="ListBullet"/>
      </w:pPr>
      <w:r>
        <w:t>Keine frühere Mandatierung der GmbH oder einer beteiligten Person durch die Kanzlei.</w:t>
      </w:r>
    </w:p>
    <w:p>
      <w:pPr>
        <w:pStyle w:val="ListBullet"/>
      </w:pPr>
      <w:r>
        <w:t>Keine Beratung von Gläubigern (Lieferanten, FA, Banken) durch die Kanzlei.</w:t>
      </w:r>
    </w:p>
    <w:p>
      <w:pPr>
        <w:pStyle w:val="ListBullet"/>
      </w:pPr>
      <w:r>
        <w:t>Keine Interessenkollision festgestellt.</w:t>
      </w:r>
    </w:p>
    <w:p/>
    <w:p>
      <w:pPr>
        <w:pStyle w:val="Heading2"/>
      </w:pPr>
      <w:r>
        <w:rPr>
          <w:rFonts w:ascii="Times New Roman" w:hAnsi="Times New Roman"/>
        </w:rPr>
        <w:t>7. Vollmachten</w:t>
      </w:r>
    </w:p>
    <w:p>
      <w:pPr>
        <w:pStyle w:val="ListBullet"/>
      </w:pPr>
      <w:r>
        <w:t>Generalvollmacht der GmbH: gezeichnet 12.02.2026, vertretungsbefugt für das Mandat einer ordnungsgemaessen Liquidation und steuerlichen Begleitung.</w:t>
      </w:r>
    </w:p>
    <w:p>
      <w:pPr>
        <w:pStyle w:val="ListBullet"/>
      </w:pPr>
      <w:r>
        <w:t>Vollmacht von Frau Strassburger-Wittenburg persönlich (Privatebene § 17 EStG): gezeichnet 12.02.2026.</w:t>
      </w:r>
    </w:p>
    <w:p/>
    <w:p>
      <w:pPr>
        <w:pStyle w:val="Heading2"/>
      </w:pPr>
      <w:r>
        <w:rPr>
          <w:rFonts w:ascii="Times New Roman" w:hAnsi="Times New Roman"/>
        </w:rPr>
        <w:t>8. Honorarvereinbarung</w:t>
      </w:r>
    </w:p>
    <w:p>
      <w:pPr>
        <w:pStyle w:val="ListBullet"/>
      </w:pPr>
      <w:r>
        <w:t>Stundensatz für StB/RAin Dr. Pinneberg-Talheim: 380 EUR/Std. netto.</w:t>
      </w:r>
    </w:p>
    <w:p>
      <w:pPr>
        <w:pStyle w:val="ListBullet"/>
      </w:pPr>
      <w:r>
        <w:t>Stundensatz für RA Dr. Eschberg-Roth: 320 EUR/Std. netto.</w:t>
      </w:r>
    </w:p>
    <w:p>
      <w:pPr>
        <w:pStyle w:val="ListBullet"/>
      </w:pPr>
      <w:r>
        <w:t>Stundensatz für wissenschaftliche Mitarbeit: 180 EUR/Std. netto.</w:t>
      </w:r>
    </w:p>
    <w:p>
      <w:pPr>
        <w:pStyle w:val="ListBullet"/>
      </w:pPr>
      <w:r>
        <w:t>Vorschuss: 6.000 EUR netto (RVG-Hinweis nach § 49b BRAO, § 3a RVG erfolgt).</w:t>
      </w:r>
    </w:p>
    <w:p>
      <w:pPr>
        <w:pStyle w:val="ListBullet"/>
      </w:pPr>
      <w:r>
        <w:t>Hinweis: Da das Mandat überwiegend steuerberatend ist und durch eine Steuerberaterin geführt wird, gilt StBVV neben RVG.</w:t>
      </w:r>
    </w:p>
    <w:p/>
    <w:p>
      <w:pPr>
        <w:pStyle w:val="Heading2"/>
      </w:pPr>
      <w:r>
        <w:rPr>
          <w:rFonts w:ascii="Times New Roman" w:hAnsi="Times New Roman"/>
        </w:rPr>
        <w:t>9. Erste Massnahmen — Termine bis 30.04.2026</w:t>
      </w:r>
    </w:p>
    <w:p>
      <w:pPr>
        <w:pStyle w:val="ListBullet"/>
      </w:pPr>
      <w:r>
        <w:t>Liquidationsbeschluss vorbereiten, Notartermin (15.04.2026 vereinbart, Notarbüro Dr. Anna Birke, Schluetersrasse 32, 10625 Berlin).</w:t>
      </w:r>
    </w:p>
    <w:p>
      <w:pPr>
        <w:pStyle w:val="ListBullet"/>
      </w:pPr>
      <w:r>
        <w:t>Liquidations-Eröffnungsbilanz auf den 15.04.2026 erstellen (Werthbruch-Lange + Pinneberg-Talheim).</w:t>
      </w:r>
    </w:p>
    <w:p>
      <w:pPr>
        <w:pStyle w:val="ListBullet"/>
      </w:pPr>
      <w:r>
        <w:t>Antrag verbindliche Auskunft an FA Berlin-Charlottenburg vorbereiten (Aktenstück 13).</w:t>
      </w:r>
    </w:p>
    <w:p>
      <w:pPr>
        <w:pStyle w:val="ListBullet"/>
      </w:pPr>
      <w:r>
        <w:t>Gläubigeraufruf und Bekanntmachung im Unternehmensregister organisieren (Eschberg-Roth).</w:t>
      </w:r>
    </w:p>
    <w:p>
      <w:pPr>
        <w:pStyle w:val="ListBullet"/>
      </w:pPr>
      <w:r>
        <w:t>Liquiditätsplan für das Sperrjahr aufstellen.</w:t>
      </w:r>
    </w:p>
    <w:p/>
    <w:p>
      <w:pPr>
        <w:pStyle w:val="Heading2"/>
      </w:pPr>
      <w:r>
        <w:rPr>
          <w:rFonts w:ascii="Times New Roman" w:hAnsi="Times New Roman"/>
        </w:rPr>
        <w:t>10. Mandantenstil</w:t>
      </w:r>
    </w:p>
    <w:p>
      <w:pPr>
        <w:jc w:val="left"/>
      </w:pPr>
      <w:r>
        <w:t xml:space="preserve">Frau Strassburger-Wittenburg ist hochinteressiert an einer korrekten Abwicklung, hat aber wenig Vertrauen in die Wahrnehmungskapazität der Finanzverwaltung. Sie ist hochgradig präzise, formuliert in ganzen Sätzen, akzeptiert Risiken, wenn sie sie versteht. Sie möchte </w:t>
      </w:r>
      <w:r>
        <w:rPr>
          <w:b/>
        </w:rPr>
        <w:t>monatliche Sachstandsberichte</w:t>
      </w:r>
      <w:r>
        <w:t xml:space="preserve"> und </w:t>
      </w:r>
      <w:r>
        <w:rPr>
          <w:b/>
        </w:rPr>
        <w:t>alle Schriftsätze vor Versand zur Freigabe</w:t>
      </w:r>
      <w:r>
        <w:t>.</w:t>
      </w:r>
    </w:p>
    <w:p/>
    <w:p>
      <w:pPr>
        <w:jc w:val="left"/>
      </w:pPr>
      <w:r>
        <w:rPr>
          <w:b/>
        </w:rPr>
        <w:t>Ende der Mandatsnotiz.</w:t>
      </w:r>
    </w:p>
    <w:p>
      <w:pPr>
        <w:jc w:val="left"/>
      </w:pPr>
      <w:r>
        <w:rPr>
          <w:i/>
        </w:rPr>
        <w:t>Dr. Cordula Pinneberg-Talheim, StB/RAin</w:t>
      </w:r>
    </w:p>
    <w:p>
      <w:pPr>
        <w:jc w:val="left"/>
      </w:pPr>
      <w:r>
        <w:rPr>
          <w:i/>
        </w:rPr>
        <w:t>Berlin, 12.02.2026, 18:20 Uhr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Eschberg und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ESCHBERG UND PARTNER MBB</w:t>
    </w:r>
  </w:p>
  <w:p>
    <w:pPr>
      <w:jc w:val="left"/>
      <w:pBdr>
        <w:bottom w:val="single" w:sz="8" w:space="2" w:color="7B2D3B"/>
      </w:pBdr>
    </w:pPr>
    <w:r>
      <w:rPr>
        <w:rFonts w:ascii="Times New Roman" w:hAnsi="Times New Roman"/>
        <w:color w:val="6B6B66"/>
        <w:sz w:val="16"/>
      </w:rPr>
      <w:t>Rechtsanwaltskanzlei · Az.: PE-2026-LIQ-0188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