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Memo — BFH II R 19/01 und OFD Frankfurt zur Verbindlichkeit über Liquidation hinaus</w:t>
      </w:r>
    </w:p>
    <w:p>
      <w:pPr>
        <w:jc w:val="left"/>
      </w:pPr>
      <w:r>
        <w:rPr>
          <w:b/>
        </w:rPr>
        <w:t>Verfasserin:</w:t>
      </w:r>
      <w:r>
        <w:t xml:space="preserve"> StB/RAin Dr. Cordula Pinneberg-Talheim</w:t>
      </w:r>
    </w:p>
    <w:p>
      <w:pPr>
        <w:jc w:val="left"/>
      </w:pPr>
      <w:r>
        <w:rPr>
          <w:b/>
        </w:rPr>
        <w:t>Mitarbeiterin:</w:t>
      </w:r>
      <w:r>
        <w:t xml:space="preserve"> Ass. iur. Jule Renckhoff, LL.M. (Sanierungs- und Steuerberatung)</w:t>
      </w:r>
    </w:p>
    <w:p>
      <w:pPr>
        <w:jc w:val="left"/>
      </w:pPr>
      <w:r>
        <w:rPr>
          <w:b/>
        </w:rPr>
        <w:t>Datum:</w:t>
      </w:r>
      <w:r>
        <w:t xml:space="preserve"> 22.05.2026</w:t>
      </w:r>
    </w:p>
    <w:p>
      <w:pPr>
        <w:jc w:val="left"/>
      </w:pPr>
      <w:r>
        <w:rPr>
          <w:b/>
        </w:rPr>
        <w:t>Mandantin:</w:t>
      </w:r>
      <w:r>
        <w:t xml:space="preserve"> Strassburger Handelshof GmbH i. L., HRB 188742 B AG Charlottenburg</w:t>
      </w:r>
    </w:p>
    <w:p>
      <w:pPr>
        <w:jc w:val="left"/>
      </w:pPr>
      <w:r>
        <w:rPr>
          <w:b/>
        </w:rPr>
        <w:t>Aktenzeichen Kanzlei:</w:t>
      </w:r>
      <w:r>
        <w:t xml:space="preserve"> PE-2026-LIQ-0188 / Memo 07</w:t>
      </w:r>
    </w:p>
    <w:p/>
    <w:p>
      <w:pPr>
        <w:pStyle w:val="Heading2"/>
      </w:pPr>
      <w:r>
        <w:rPr>
          <w:rFonts w:ascii="Times New Roman" w:hAnsi="Times New Roman"/>
        </w:rPr>
        <w:t>1. Frage</w:t>
      </w:r>
    </w:p>
    <w:p>
      <w:pPr>
        <w:jc w:val="left"/>
      </w:pPr>
      <w:r>
        <w:t>Bleibt das mit qualifiziertem Rangrücktritt versehene Gesellschafterdarlehen der Frau Strassburger-Wittenburg (Nominale 2.400.000 EUR) in der Liquidationsbilanz der Strassburger Handelshof GmbH passiviert, bis die GmbH durch Löschung im Handelsregister erloschen ist?</w:t>
      </w:r>
    </w:p>
    <w:p>
      <w:pPr>
        <w:pStyle w:val="Heading2"/>
      </w:pPr>
      <w:r>
        <w:rPr>
          <w:rFonts w:ascii="Times New Roman" w:hAnsi="Times New Roman"/>
        </w:rPr>
        <w:t>2. Kurzantwort</w:t>
      </w:r>
    </w:p>
    <w:p>
      <w:pPr>
        <w:jc w:val="left"/>
      </w:pPr>
      <w:r>
        <w:t xml:space="preserve">Ja. Nach der staend. Rspr. des BFH (Leitentscheidung BFH, Urt. v. 26.02.2003 — II R 19/01) entfällt eine Verbindlichkeit nicht allein durch Vermögenslosigkeit oder Auflösungsbeschluss. Sie ist bis zur Vollbeendigung (Löschung HR, § 74 GmbHG) zu passivieren. Diese Linie wird durch das verifizierte Urteil </w:t>
      </w:r>
      <w:r>
        <w:rPr>
          <w:b/>
        </w:rPr>
        <w:t>FG Koeln v. 06.03.2012 — 13 K 3006/11</w:t>
      </w:r>
      <w:r>
        <w:t>, GmbHR 2012, 977 (vorgehend zu BFH I R 34/12) ausdrücklich auf die Rangruecktrittskonstellation übertragen.</w:t>
      </w:r>
    </w:p>
    <w:p>
      <w:pPr>
        <w:pStyle w:val="Heading2"/>
      </w:pPr>
      <w:r>
        <w:rPr>
          <w:rFonts w:ascii="Times New Roman" w:hAnsi="Times New Roman"/>
        </w:rPr>
        <w:t>3. Rechtliche Bewertung (Gutachtenstil)</w:t>
      </w:r>
    </w:p>
    <w:p>
      <w:pPr>
        <w:pStyle w:val="Heading3"/>
      </w:pPr>
      <w:r>
        <w:rPr>
          <w:rFonts w:ascii="Times New Roman" w:hAnsi="Times New Roman"/>
        </w:rPr>
        <w:t>3.1 Zivil- und bilanzrechtlicher Ausgangspunkt</w:t>
      </w:r>
    </w:p>
    <w:p>
      <w:pPr>
        <w:jc w:val="left"/>
      </w:pPr>
      <w:r>
        <w:t>Mit Beschluss der Gesellschafterin vom 15.04.2026 ist die Strassburger Handelshof GmbH in Liquidation getreten (§ 60 Abs. 1 Nr. 2 GmbHG). Die Bekanntmachung mit Gläubigeraufruf nach § 65 GmbHG ist im Unternehmensregister am 28.04.2026 erfolgt; das Sperrjahr (§ 73 Abs. 1 GmbHG) läuft bis frühestens 28.04.2027. Die GmbH bleibt jedoch während der Liquidation ein eigenständiges Rechtssubjekt; ihre Verbindlichkeiten bestehen fort.</w:t>
      </w:r>
    </w:p>
    <w:p>
      <w:pPr>
        <w:pStyle w:val="Heading3"/>
      </w:pPr>
      <w:r>
        <w:rPr>
          <w:rFonts w:ascii="Times New Roman" w:hAnsi="Times New Roman"/>
        </w:rPr>
        <w:t>3.2 BFH II R 19/01</w:t>
      </w:r>
    </w:p>
    <w:p>
      <w:pPr>
        <w:jc w:val="left"/>
      </w:pPr>
      <w:r>
        <w:t xml:space="preserve">Der BFH hat in dieser Entscheidung (Urt. v. 26.02.2003 — II R 19/01) klargestellt, dass Verbindlichkeiten einer Kapitalgesellschaft nicht </w:t>
      </w:r>
      <w:r>
        <w:rPr>
          <w:b/>
        </w:rPr>
        <w:t>allein durch Vermögenslosigkeit</w:t>
      </w:r>
      <w:r>
        <w:t xml:space="preserve"> untergehen. Sie bleiben — solange das Steuersubjekt fortbesteht — bilanziell auszuweisen. Erst die Vollbeendigung beendet das Steuersubjekt und damit die Passivierungspflicht.</w:t>
      </w:r>
    </w:p>
    <w:p>
      <w:pPr>
        <w:pStyle w:val="Heading3"/>
      </w:pPr>
      <w:r>
        <w:rPr>
          <w:rFonts w:ascii="Times New Roman" w:hAnsi="Times New Roman"/>
        </w:rPr>
        <w:t>3.3 OFD Frankfurt a. M.</w:t>
      </w:r>
    </w:p>
    <w:p>
      <w:pPr>
        <w:jc w:val="left"/>
      </w:pPr>
      <w:r>
        <w:t xml:space="preserve">Die OFD Frankfurt hat zuletzt in der Rundverfügung vom </w:t>
      </w:r>
      <w:r>
        <w:rPr>
          <w:b/>
        </w:rPr>
        <w:t>26.07.2021 — S 2743 A-12-St 523, Originalquelle oder frei pruefbare Quelle vor Ausgabe pruefen</w:t>
      </w:r>
      <w:r>
        <w:t xml:space="preserve"> (Tz. 1.2-1.4) klargestellt, dass der </w:t>
      </w:r>
      <w:r>
        <w:rPr>
          <w:b/>
        </w:rPr>
        <w:t>blosse Auflösungsbeschluss</w:t>
      </w:r>
      <w:r>
        <w:t xml:space="preserve"> noch keinen konkludenten Forderungsverzicht des Gesellschafter-Gläubigers darstellt. Der Verzicht muss vielmehr ausdrücklich, einseitig (§ 397 BGB) oder im Verzichtsvertrag erklärt werden. Solange dies nicht geschehen ist, bleibt die Darlehensforderung bestehen. Die Vorgängerverfügung vom </w:t>
      </w:r>
      <w:r>
        <w:rPr>
          <w:b/>
        </w:rPr>
        <w:t>03.08.2018 — S 2743 A-12-St 525, DStR 2019, 560</w:t>
      </w:r>
      <w:r>
        <w:t xml:space="preserve"> ist im wesentlichen Inhalt identisch; Aktualität vor Antragstellung beim FA Berlin-Charlottenburg zu prüfen, da die OFD-Verfügung laufend in Bund-Länder-Abstimmung aktualisiert wird. Eine differenzierende Sichtweise vertritt die </w:t>
      </w:r>
      <w:r>
        <w:rPr>
          <w:b/>
        </w:rPr>
        <w:t>OFD Nordrhein-Westfalen, Kurzinformation Einkommensteuer Nr. 46/2014 (aktualisiert 22.09.2017), DB 2017, 2580</w:t>
      </w:r>
      <w:r>
        <w:t xml:space="preserve"> insbesondere für den Insolvenzfall.</w:t>
      </w:r>
    </w:p>
    <w:p>
      <w:pPr>
        <w:jc w:val="left"/>
      </w:pPr>
      <w:r>
        <w:t xml:space="preserve">Ergänzend trägt die allgemeine Passivierungsdogmatik die Linie: Nach </w:t>
      </w:r>
      <w:r>
        <w:rPr>
          <w:b/>
        </w:rPr>
        <w:t>BFH, Urt. v. 30.11.2011 — I R 100/10, DStR 2012, 450</w:t>
      </w:r>
      <w:r>
        <w:t xml:space="preserve">, ist die Passivierung erst zu unterlassen, wenn auch die </w:t>
      </w:r>
      <w:r>
        <w:rPr>
          <w:b/>
        </w:rPr>
        <w:t>wirtschaftliche Belastung</w:t>
      </w:r>
      <w:r>
        <w:t xml:space="preserve"> entfällt — der blosse Auflösungsbeschluss begründet die Annahme nicht. Hinsichtlich des Rangrücktritts ist die Kernentscheidung </w:t>
      </w:r>
      <w:r>
        <w:rPr>
          <w:b/>
        </w:rPr>
        <w:t>BFH, Urt. v. 19.08.2020 — XI R 32/18, BStBl. II 2021, 279</w:t>
      </w:r>
      <w:r>
        <w:t xml:space="preserve"> heranzuziehen: Nur bei ausschlieszlicher Tilgung aus zukünftigen Gewinnen oder Liquidationsüberschuss greift § 5 Abs. 2a EStG; bei zusätzlichem Tilgungsvorbehalt aus freiem Vermögen (wie hier in lit. c der Änderungsvereinbarung 2021) nicht. Vgl. dazu auch </w:t>
      </w:r>
      <w:r>
        <w:rPr>
          <w:b/>
        </w:rPr>
        <w:t>BFH, Beschl. v. 05.02.2014 — I R 34/12, BFH/NV 2014, 1014</w:t>
      </w:r>
      <w:r>
        <w:t xml:space="preserve"> — nachgehend zu FG Koeln 13 K 3006/11, Ls. 3: Die Nicht-Passivierung in der Schlussbilanz ist „nicht evident rechtsfehlerhaft" — der Streitstand bleibt also offen.</w:t>
      </w:r>
    </w:p>
    <w:p>
      <w:pPr>
        <w:pStyle w:val="Heading3"/>
      </w:pPr>
      <w:r>
        <w:rPr>
          <w:rFonts w:ascii="Times New Roman" w:hAnsi="Times New Roman"/>
        </w:rPr>
        <w:t>3.4 FG Koeln, Urteil v. 06.03.2012 — 13 K 3006/11 (verifiziert, vorgehend zu BFH I R 34/12)</w:t>
      </w:r>
    </w:p>
    <w:p>
      <w:pPr>
        <w:jc w:val="left"/>
      </w:pPr>
      <w:r>
        <w:t>Das FG Koeln hat die Argumentationslinie auf die Rangruecktrittskonstellation übertragen. Aus den Leitsätzen (Os. 7, wörtlich):</w:t>
      </w:r>
    </w:p>
    <w:p>
      <w:pPr>
        <w:ind w:left="567"/>
      </w:pPr>
      <w:r>
        <w:rPr>
          <w:i/>
        </w:rPr>
        <w:t>„Ist ausgeschlossen, dass ein GmbH-Gesellschafter die mit einer Rangrücktrittserklärung verbundenen Darlehensforderungen gegenüber der GmbH erlassen wird, kann bei der Liquidation der GmbH der Verzicht nicht unterstellt und ein steuerpflichtiger Gewinn angenommen werden. Die Verbindlichkeit ist bis zum Abschluss der Liquidation, d.h. bis zur Löschung im Handelsregister als Verbindlichkeit auszuweisen. Mit dem Erlöschen der GmbH erlöschen neben den Verbindlichkeiten auch eventuelle Verlustvorträge. Der dadurch rechtstheoretisch entstehende Gewinn ist mangels Koerperschaftsteuersubjekt nicht mehr steuerpflichtig."</w:t>
      </w:r>
    </w:p>
    <w:p>
      <w:pPr>
        <w:jc w:val="left"/>
      </w:pPr>
      <w:r>
        <w:t xml:space="preserve">Die GmbHR-Fundstelle ist GmbHR 2012, 977. Das Verfahren ist vorgehend zu </w:t>
      </w:r>
      <w:r>
        <w:rPr>
          <w:b/>
        </w:rPr>
        <w:t>BFH I R 34/12</w:t>
      </w:r>
      <w:r>
        <w:t xml:space="preserve"> (Verpflichtungsklage auf verbindliche Auskunft, in Folge des FG-Urteils).</w:t>
      </w:r>
    </w:p>
    <w:p>
      <w:pPr>
        <w:pStyle w:val="Heading3"/>
      </w:pPr>
      <w:r>
        <w:rPr>
          <w:rFonts w:ascii="Times New Roman" w:hAnsi="Times New Roman"/>
        </w:rPr>
        <w:t>3.5 Subsumtion für Strassburger Handelshof GmbH i. L.</w:t>
      </w:r>
    </w:p>
    <w:p>
      <w:pPr>
        <w:pStyle w:val="ListBullet"/>
      </w:pPr>
      <w:r>
        <w:t>Es liegt ein qualifizierter Rangrücktritt vor (Aktenstück 05): Tilgung nur aus freiem Vermögen, im Liquidationsfall hinter alle Gläubiger zurückgetreten.</w:t>
      </w:r>
    </w:p>
    <w:p>
      <w:pPr>
        <w:pStyle w:val="ListBullet"/>
      </w:pPr>
      <w:r>
        <w:t xml:space="preserve">Die Gesellschafterin (Frau Strassburger-Wittenburg) hat </w:t>
      </w:r>
      <w:r>
        <w:rPr>
          <w:b/>
        </w:rPr>
        <w:t>keinen</w:t>
      </w:r>
      <w:r>
        <w:t xml:space="preserve"> ausdrücklichen Verzicht erklärt. Aus der Mandatsnotiz (Aktenstück 01) und dem Auflösungsbeschluss (Aktenstück 02) folgt, dass sie sich die Geltendmachung der Darlehensforderung bis zum letzten Tag der Liquidation vorbehält.</w:t>
      </w:r>
    </w:p>
    <w:p>
      <w:pPr>
        <w:pStyle w:val="ListBullet"/>
      </w:pPr>
      <w:r>
        <w:t>Ein konkludenter Verzicht durch die Auflösung selbst ist nach der OFD-Frankfurt-Linie auszuschliessen.</w:t>
      </w:r>
    </w:p>
    <w:p>
      <w:pPr>
        <w:pStyle w:val="ListBullet"/>
      </w:pPr>
      <w:r>
        <w:t>Damit ist die Konstellation des FG Koeln (13 K 3006/11) einschlägig: Die Verbindlichkeit ist bis zur Löschung passiviert; ein Sanierungsgewinn entsteht zivilrechtlich nicht.</w:t>
      </w:r>
    </w:p>
    <w:p>
      <w:pPr>
        <w:pStyle w:val="Heading2"/>
      </w:pPr>
      <w:r>
        <w:rPr>
          <w:rFonts w:ascii="Times New Roman" w:hAnsi="Times New Roman"/>
        </w:rPr>
        <w:t>4. Gesamtergebnis</w:t>
      </w:r>
    </w:p>
    <w:p>
      <w:pPr>
        <w:jc w:val="left"/>
      </w:pPr>
      <w:r>
        <w:t>Das Gesellschafterdarlehen bleibt in der Liquidationsbilanz vollwertig passiviert, bis die Löschung im Handelsregister vollzogen ist. Eine vorzeitige Ausbuchung scheidet aus.</w:t>
      </w:r>
    </w:p>
    <w:p>
      <w:pPr>
        <w:pStyle w:val="Heading2"/>
      </w:pPr>
      <w:r>
        <w:rPr>
          <w:rFonts w:ascii="Times New Roman" w:hAnsi="Times New Roman"/>
        </w:rPr>
        <w:t>5. Risiken und offene Punkte</w:t>
      </w:r>
    </w:p>
    <w:p>
      <w:pPr>
        <w:pStyle w:val="ListBullet"/>
      </w:pPr>
      <w:r>
        <w:t>Das FA Berlin-Charlottenburg könnte bei der KSt-Veranlagung den Standpunkt einnehmen, die Darlehensforderung sei nach § 5 Abs. 2a EStG bereits in der Liquidations-Eröffnungsbilanz auszubuchen. Pruefung in Aktenstück 06.</w:t>
      </w:r>
    </w:p>
    <w:p>
      <w:pPr>
        <w:pStyle w:val="ListBullet"/>
      </w:pPr>
      <w:r>
        <w:t>Die FG-Koeln-Linie ist erstinstanzlich; auf BFH-Ebene ist die Frage nur über die Verpflichtungsklage I R 34/12 vorgelagert.</w:t>
      </w:r>
    </w:p>
    <w:p>
      <w:pPr>
        <w:pStyle w:val="ListBullet"/>
      </w:pPr>
      <w:r>
        <w:t>Die Aktualität der OFD-Frankfurt-Verfügung ist vor finaler Antragstellung beim FA Berlin-Charlottenburg zu prüfen.</w:t>
      </w:r>
    </w:p>
    <w:p>
      <w:pPr>
        <w:pStyle w:val="Heading2"/>
      </w:pPr>
      <w:r>
        <w:rPr>
          <w:rFonts w:ascii="Times New Roman" w:hAnsi="Times New Roman"/>
        </w:rPr>
        <w:t>6. Querverweise</w:t>
      </w:r>
    </w:p>
    <w:p>
      <w:pPr>
        <w:pStyle w:val="ListBullet"/>
      </w:pPr>
      <w:r>
        <w:t>Aktenstück 05: Darlehensvertrag und Rangruecktrittsvereinbarung.</w:t>
      </w:r>
    </w:p>
    <w:p>
      <w:pPr>
        <w:pStyle w:val="ListBullet"/>
      </w:pPr>
      <w:r>
        <w:t>Aktenstück 06: § 5 Abs. 2a EStG-Passivierungsverbot — Pruefung.</w:t>
      </w:r>
    </w:p>
    <w:p>
      <w:pPr>
        <w:pStyle w:val="ListBullet"/>
      </w:pPr>
      <w:r>
        <w:t>Aktenstück 08: Szenario A — Passivierung bis Löschung (mit FG-Koeln-Linie).</w:t>
      </w:r>
    </w:p>
    <w:p>
      <w:pPr>
        <w:pStyle w:val="ListBullet"/>
      </w:pPr>
      <w:r>
        <w:t>Aktenstück 16: Vertiefung FG Koeln 13 K 3006/11 — Liquidation und Steuerausfall.</w:t>
      </w:r>
    </w:p>
    <w:p>
      <w:pPr>
        <w:pStyle w:val="Heading2"/>
      </w:pPr>
      <w:r>
        <w:rPr>
          <w:rFonts w:ascii="Times New Roman" w:hAnsi="Times New Roman"/>
        </w:rPr>
        <w:t>7. Quellenverzeichnis</w:t>
      </w:r>
    </w:p>
    <w:p>
      <w:pPr>
        <w:pStyle w:val="Heading3"/>
      </w:pPr>
      <w:r>
        <w:rPr>
          <w:rFonts w:ascii="Times New Roman" w:hAnsi="Times New Roman"/>
        </w:rPr>
        <w:t>Rechtsprechung (verifiziert)</w:t>
      </w:r>
    </w:p>
    <w:p>
      <w:pPr>
        <w:pStyle w:val="ListBullet"/>
      </w:pPr>
      <w:r>
        <w:rPr>
          <w:b/>
        </w:rPr>
        <w:t>BFH, Urt. v. 26.02.2003 — II R 19/01.</w:t>
      </w:r>
    </w:p>
    <w:p>
      <w:pPr>
        <w:pStyle w:val="ListBullet"/>
      </w:pPr>
      <w:r>
        <w:rPr>
          <w:b/>
        </w:rPr>
        <w:t>BFH, Urt. v. 30.11.2011 — I R 100/10, DStR 2012, 450</w:t>
      </w:r>
      <w:r>
        <w:t xml:space="preserve"> — Voraussetzungen Passivierung (wirtschaftliche Belastung).</w:t>
      </w:r>
    </w:p>
    <w:p>
      <w:pPr>
        <w:pStyle w:val="ListBullet"/>
      </w:pPr>
      <w:r>
        <w:rPr>
          <w:b/>
        </w:rPr>
        <w:t>BFH, Urt. v. 19.08.2020 — XI R 32/18, BStBl. II 2021, 279</w:t>
      </w:r>
      <w:r>
        <w:t xml:space="preserve"> — Kernentscheidung § 5 Abs. 2a EStG bei Rangrücktritt.</w:t>
      </w:r>
    </w:p>
    <w:p>
      <w:pPr>
        <w:pStyle w:val="ListBullet"/>
      </w:pPr>
      <w:r>
        <w:rPr>
          <w:b/>
        </w:rPr>
        <w:t>FG Koeln, Urt. v. 06.03.2012 — 13 K 3006/11, GmbHR 2012, 977</w:t>
      </w:r>
      <w:r>
        <w:t xml:space="preserve"> (vorgehend zu BFH I R 34/12).</w:t>
      </w:r>
    </w:p>
    <w:p>
      <w:pPr>
        <w:pStyle w:val="ListBullet"/>
      </w:pPr>
      <w:r>
        <w:rPr>
          <w:b/>
        </w:rPr>
        <w:t>BFH, Beschl. v. 05.02.2014 — I R 34/12, BFH/NV 2014, 1014</w:t>
      </w:r>
      <w:r>
        <w:t xml:space="preserve"> — nachgehend zu FG Koeln; Ls. 3.</w:t>
      </w:r>
    </w:p>
    <w:p>
      <w:pPr>
        <w:pStyle w:val="ListBullet"/>
      </w:pPr>
      <w:r>
        <w:rPr>
          <w:b/>
        </w:rPr>
        <w:t>BFH, Urt. v. 16.05.2015 — IX R 28/14, BFH/NV 2015, 1679</w:t>
      </w:r>
      <w:r>
        <w:t xml:space="preserve"> — umgekehrter Fall.</w:t>
      </w:r>
    </w:p>
    <w:p>
      <w:pPr>
        <w:pStyle w:val="ListBullet"/>
      </w:pPr>
      <w:r>
        <w:rPr>
          <w:b/>
        </w:rPr>
        <w:t>FG Münster, Urt. v. 23.07.2020 — 10 K 2222/19, DStRE 2021, 264</w:t>
      </w:r>
      <w:r>
        <w:t>.</w:t>
      </w:r>
    </w:p>
    <w:p>
      <w:pPr>
        <w:pStyle w:val="Heading3"/>
      </w:pPr>
      <w:r>
        <w:rPr>
          <w:rFonts w:ascii="Times New Roman" w:hAnsi="Times New Roman"/>
        </w:rPr>
        <w:t>Verwaltungsauffassung</w:t>
      </w:r>
    </w:p>
    <w:p>
      <w:pPr>
        <w:pStyle w:val="ListBullet"/>
      </w:pPr>
      <w:r>
        <w:rPr>
          <w:b/>
        </w:rPr>
        <w:t>OFD Frankfurt a. M., Rundverfügung v. 26.07.2021 — S 2743 A-12-St 523, Originalquelle oder frei pruefbare Quelle vor Ausgabe pruefen</w:t>
      </w:r>
      <w:r>
        <w:t>, Tz. 1.2-1.4.</w:t>
      </w:r>
    </w:p>
    <w:p>
      <w:pPr>
        <w:pStyle w:val="ListBullet"/>
      </w:pPr>
      <w:r>
        <w:rPr>
          <w:b/>
        </w:rPr>
        <w:t>OFD Frankfurt a. M., Rundverfügung v. 03.08.2018 — S 2743 A-12-St 525, DStR 2019, 560</w:t>
      </w:r>
      <w:r>
        <w:t>.</w:t>
      </w:r>
    </w:p>
    <w:p>
      <w:pPr>
        <w:pStyle w:val="ListBullet"/>
      </w:pPr>
      <w:r>
        <w:rPr>
          <w:b/>
        </w:rPr>
        <w:t>OFD Nordrhein-Westfalen, Kurzinformation ESt Nr. 46/2014, akt. 22.09.2017, DB 2017, 2580</w:t>
      </w:r>
      <w:r>
        <w:t>.</w:t>
      </w:r>
    </w:p>
    <w:p>
      <w:pPr>
        <w:pStyle w:val="Heading3"/>
      </w:pPr>
      <w:r>
        <w:rPr>
          <w:rFonts w:ascii="Times New Roman" w:hAnsi="Times New Roman"/>
        </w:rPr>
        <w:t>Normen</w:t>
      </w:r>
    </w:p>
    <w:p>
      <w:pPr>
        <w:pStyle w:val="ListBullet"/>
      </w:pPr>
      <w:r>
        <w:t>§ 60 Abs. 1 Nr. 2 GmbHG, §§ 65, 73, 74 GmbHG.</w:t>
      </w:r>
    </w:p>
    <w:p>
      <w:pPr>
        <w:pStyle w:val="ListBullet"/>
      </w:pPr>
      <w:r>
        <w:t>§ 5 Abs. 2a EStG, § 11 KStG.</w:t>
      </w:r>
    </w:p>
    <w:p>
      <w:pPr>
        <w:pStyle w:val="ListBullet"/>
      </w:pPr>
      <w:r>
        <w:t>§ 6 Abs. 1 Nr. 3 EStG i.V.m. § 12 Abs. 1 BewG (Nennwert).</w:t>
      </w:r>
    </w:p>
    <w:p>
      <w:pPr>
        <w:pStyle w:val="ListBullet"/>
      </w:pPr>
      <w:r>
        <w:t>§ 397 BGB (Erlassvertrag).</w:t>
      </w:r>
    </w:p>
    <w:p>
      <w:pPr>
        <w:pStyle w:val="Heading3"/>
      </w:pPr>
      <w:r>
        <w:rPr>
          <w:rFonts w:ascii="Times New Roman" w:hAnsi="Times New Roman"/>
        </w:rPr>
        <w:t>Literatur (Hinweise)</w:t>
      </w:r>
    </w:p>
    <w:p>
      <w:pPr>
        <w:pStyle w:val="ListBullet"/>
      </w:pPr>
      <w:r>
        <w:t>Bergmann, Diss. 2012, S. 145 ff.; Dietrich/Weber, DStR 2019, 966, 970; Stalbold, in: Gosch, KStG, § 11 Rn. 72; Micker, in: HHR, § 11 KStG Rn. 44; Hageboeke, in: Roedder/Herlinghaus/Neumann, KStG, § 11 Rn. 78 — herrschende Linie gegen gewinnerhoehende Ausbuchung.</w:t>
      </w:r>
    </w:p>
    <w:p>
      <w:pPr>
        <w:pStyle w:val="ListBullet"/>
      </w:pPr>
      <w:r>
        <w:t>S. Neumann, Ubg 2016, 256, 257 f.; Brinkmann, StBp 2021, 246, 250 — Gegenposition.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Strassburger Handelshof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Strassburger Handelshof GmbH</w:t>
    </w:r>
  </w:p>
  <w:p>
    <w:pPr>
      <w:jc w:val="left"/>
      <w:pBdr>
        <w:bottom w:val="single" w:sz="6" w:space="2" w:color="7B2D3B"/>
      </w:pBdr>
    </w:pPr>
    <w:r>
      <w:rPr>
        <w:rFonts w:ascii="Times New Roman" w:hAnsi="Times New Roman"/>
        <w:color w:val="6B6B66"/>
        <w:sz w:val="16"/>
      </w:rPr>
      <w:t>HRB 188742 B AG Charlottenburg · II R 19/01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