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Szenario B — Darlehen wird in der Liquidationsbilanz ausgebucht</w:t>
      </w:r>
    </w:p>
    <w:p>
      <w:pPr>
        <w:jc w:val="left"/>
      </w:pPr>
      <w:r>
        <w:rPr>
          <w:b/>
        </w:rPr>
        <w:t>Verfasserin:</w:t>
      </w:r>
      <w:r>
        <w:t xml:space="preserve"> StB/RAin Dr. Cordula Pinneberg-Talheim</w:t>
      </w:r>
    </w:p>
    <w:p>
      <w:pPr>
        <w:jc w:val="left"/>
      </w:pPr>
      <w:r>
        <w:rPr>
          <w:b/>
        </w:rPr>
        <w:t>Datum:</w:t>
      </w:r>
      <w:r>
        <w:t xml:space="preserve"> 26.05.2026</w:t>
      </w:r>
    </w:p>
    <w:p>
      <w:pPr>
        <w:jc w:val="left"/>
      </w:pPr>
      <w:r>
        <w:rPr>
          <w:b/>
        </w:rPr>
        <w:t>Mandantin:</w:t>
      </w:r>
      <w:r>
        <w:t xml:space="preserve"> Strassburger Handelshof GmbH i.L., HRB 188742 B AG Charlottenburg</w:t>
      </w:r>
    </w:p>
    <w:p>
      <w:pPr>
        <w:jc w:val="left"/>
      </w:pPr>
      <w:r>
        <w:rPr>
          <w:b/>
        </w:rPr>
        <w:t>Aktenzeichen Kanzlei:</w:t>
      </w:r>
      <w:r>
        <w:t xml:space="preserve"> PE-2026-LIQ-0188 / Szenario B</w:t>
      </w:r>
    </w:p>
    <w:p>
      <w:pPr>
        <w:jc w:val="left"/>
      </w:pPr>
      <w:r>
        <w:rPr>
          <w:b/>
        </w:rPr>
        <w:t>Stil:</w:t>
      </w:r>
      <w:r>
        <w:t xml:space="preserve"> Gutachtenstil mit Szenarien-Rechnung</w:t>
      </w:r>
    </w:p>
    <w:p/>
    <w:p>
      <w:pPr>
        <w:pStyle w:val="Heading2"/>
      </w:pPr>
      <w:r>
        <w:rPr>
          <w:rFonts w:ascii="Times New Roman" w:hAnsi="Times New Roman"/>
        </w:rPr>
        <w:t>1. Annahme (Arbeitshypothese)</w:t>
      </w:r>
    </w:p>
    <w:p>
      <w:pPr>
        <w:jc w:val="left"/>
      </w:pPr>
      <w:r>
        <w:t xml:space="preserve">Im Unterschied zu Szenario A (Akte 08) unterstellt Szenario B, dass das FA Berlin-Charlottenburg — oder ein Gericht — die Rangruecktrittsklausel als von § 5 Abs. 2a EStG erfasst auslegt: Tilgung ausschliesslich aus zukünftigen Gewinnen oder einem Liquidationsüberschuss. Die Darlehensverbindlichkeit ist dann </w:t>
      </w:r>
      <w:r>
        <w:rPr>
          <w:b/>
        </w:rPr>
        <w:t>steuerlich in der Liquidations-Eröffnungsbilanz auszubuchen</w:t>
      </w:r>
      <w:r>
        <w:t xml:space="preserve"> (bzw. in der nächsten Steuerbilanz, in der das Tatbestandsmerkmal erkannt wird).</w:t>
      </w:r>
    </w:p>
    <w:p>
      <w:pPr>
        <w:jc w:val="left"/>
      </w:pPr>
      <w:r>
        <w:t xml:space="preserve">Damit entsteht ein Sanierungs- bzw. Ausbuchungsertrag in Höhe von </w:t>
      </w:r>
      <w:r>
        <w:rPr>
          <w:b/>
        </w:rPr>
        <w:t>2.400.000 EUR</w:t>
      </w:r>
      <w:r>
        <w:t xml:space="preserve"> im Wirtschaftsjahr 2026 — </w:t>
      </w:r>
      <w:r>
        <w:rPr>
          <w:b/>
        </w:rPr>
        <w:t>vor</w:t>
      </w:r>
      <w:r>
        <w:t xml:space="preserve"> Löschung der GmbH.</w:t>
      </w:r>
    </w:p>
    <w:p>
      <w:pPr>
        <w:pStyle w:val="Heading2"/>
      </w:pPr>
      <w:r>
        <w:rPr>
          <w:rFonts w:ascii="Times New Roman" w:hAnsi="Times New Roman"/>
        </w:rPr>
        <w:t>2. Frage</w:t>
      </w:r>
    </w:p>
    <w:p>
      <w:pPr>
        <w:jc w:val="left"/>
      </w:pPr>
      <w:r>
        <w:t>Welche steuerliche Belastung entsteht, und ist § 3a EStG anwendbar, um den Ertrag steuerfrei zu stellen?</w:t>
      </w:r>
    </w:p>
    <w:p>
      <w:pPr>
        <w:pStyle w:val="Heading2"/>
      </w:pPr>
      <w:r>
        <w:rPr>
          <w:rFonts w:ascii="Times New Roman" w:hAnsi="Times New Roman"/>
        </w:rPr>
        <w:t>3. Kurzantwort</w:t>
      </w:r>
    </w:p>
    <w:p>
      <w:pPr>
        <w:jc w:val="left"/>
      </w:pPr>
      <w:r>
        <w:t xml:space="preserve">Der Ausbuchungsertrag von 2,4 Mio. EUR ist als laufender Gewinn der Strassburger Handelshof GmbH i.L. im Liquidationsbesteuerungszeitraum </w:t>
      </w:r>
      <w:r>
        <w:rPr>
          <w:b/>
        </w:rPr>
        <w:t>steuerpflichtig</w:t>
      </w:r>
      <w:r>
        <w:t xml:space="preserve">. § 3a EStG </w:t>
      </w:r>
      <w:r>
        <w:rPr>
          <w:b/>
        </w:rPr>
        <w:t>greift nicht</w:t>
      </w:r>
      <w:r>
        <w:t xml:space="preserve">, weil die Sanierungseignung (§ 3a Abs. 2 EStG) bei einer reinen Liquidation </w:t>
      </w:r>
      <w:r>
        <w:rPr>
          <w:b/>
        </w:rPr>
        <w:t>fehlt</w:t>
      </w:r>
      <w:r>
        <w:t xml:space="preserve"> — die Liquidation ist gerade das Gegenteil einer Sanierung. Verbleibende Verlustvorträge (ca. 2,38 Mio. EUR steuerlich) reduzieren die Bemessungsgrundlage, lassen jedoch eine Restbelastung übrig.</w:t>
      </w:r>
    </w:p>
    <w:p>
      <w:pPr>
        <w:pStyle w:val="Heading2"/>
      </w:pPr>
      <w:r>
        <w:rPr>
          <w:rFonts w:ascii="Times New Roman" w:hAnsi="Times New Roman"/>
        </w:rPr>
        <w:t>4. Rechtliche Bewertung (Gutachtenstil)</w:t>
      </w:r>
    </w:p>
    <w:p>
      <w:pPr>
        <w:pStyle w:val="Heading3"/>
      </w:pPr>
      <w:r>
        <w:rPr>
          <w:rFonts w:ascii="Times New Roman" w:hAnsi="Times New Roman"/>
        </w:rPr>
        <w:t>4.1 § 5 Abs. 2a EStG — Eintritt des Passivierungsverbots</w:t>
      </w:r>
    </w:p>
    <w:p>
      <w:pPr>
        <w:jc w:val="left"/>
      </w:pPr>
      <w:r>
        <w:t xml:space="preserve">Voraussetzung für die Ausbuchung wäre die Auslegung des Rangrücktritts dahin, dass die Tilgung </w:t>
      </w:r>
      <w:r>
        <w:rPr>
          <w:b/>
        </w:rPr>
        <w:t>ausschliesslich</w:t>
      </w:r>
      <w:r>
        <w:t xml:space="preserve"> aus </w:t>
      </w:r>
      <w:r>
        <w:rPr>
          <w:i/>
        </w:rPr>
        <w:t>zukünftigen Gewinnen</w:t>
      </w:r>
      <w:r>
        <w:t xml:space="preserve"> oder einem </w:t>
      </w:r>
      <w:r>
        <w:rPr>
          <w:i/>
        </w:rPr>
        <w:t>Liquidationsüberschuss</w:t>
      </w:r>
      <w:r>
        <w:t xml:space="preserve"> erfolgen kann (§ 5 Abs. 2a EStG, BFH-Rspr.).</w:t>
      </w:r>
    </w:p>
    <w:p>
      <w:pPr>
        <w:jc w:val="left"/>
      </w:pPr>
      <w:r>
        <w:t>Die Rangruecktrittsklausel (Aktenstück 05, § 2 Abs. 2) sieht in lit. a) und b) genau dies vor; lit. c) erweitert um "sonstiges freies Vermögen". Ob lit. c) eigenständig wirkt oder vom FA als leere Hueelse abgetan wird, ist die Streitfrage.</w:t>
      </w:r>
    </w:p>
    <w:p>
      <w:pPr>
        <w:jc w:val="left"/>
      </w:pPr>
      <w:r>
        <w:t xml:space="preserve">Die Auslegungsvariante des FA wäre: lit. c) ist deklaratorisch, denn nach Befriedigung aller anderen Gläubiger und Erfüllung des Stammkapitalrückzahlungsanspruchs ist </w:t>
      </w:r>
      <w:r>
        <w:rPr>
          <w:i/>
        </w:rPr>
        <w:t>kein</w:t>
      </w:r>
      <w:r>
        <w:t xml:space="preserve"> sonstiges freies Vermögen mehr vorhanden, das nicht bereits unter "Liquidationsüberschuss" lit. b) fällt. Folglich sei lit. c) nur eine Wiederholung von lit. b); die wirtschaftliche Tilgungsquelle sei tatsächlich </w:t>
      </w:r>
      <w:r>
        <w:rPr>
          <w:b/>
        </w:rPr>
        <w:t>ausschliesslich</w:t>
      </w:r>
      <w:r>
        <w:t xml:space="preserve"> lit. a) und lit. b).</w:t>
      </w:r>
    </w:p>
    <w:p>
      <w:pPr>
        <w:jc w:val="left"/>
      </w:pPr>
      <w:r>
        <w:t xml:space="preserve">Die Gegenauffassung: lit. c) hat eigenständige Bedeutung. Sonstiges freies Vermögen umfasst beispielsweise </w:t>
      </w:r>
      <w:r>
        <w:rPr>
          <w:i/>
        </w:rPr>
        <w:t>kurzfristig verfügbare Mittel</w:t>
      </w:r>
      <w:r>
        <w:t xml:space="preserve"> der GmbH während der Liquidationsphase, die nicht zum Überschuss am Liquidationsende gehören.</w:t>
      </w:r>
    </w:p>
    <w:p>
      <w:pPr>
        <w:pStyle w:val="Heading3"/>
      </w:pPr>
      <w:r>
        <w:rPr>
          <w:rFonts w:ascii="Times New Roman" w:hAnsi="Times New Roman"/>
        </w:rPr>
        <w:t>4.2 Zwischenergebnis zur § 5 Abs. 2a EStG-Frage</w:t>
      </w:r>
    </w:p>
    <w:p>
      <w:pPr>
        <w:jc w:val="left"/>
      </w:pPr>
      <w:r>
        <w:t xml:space="preserve">Die Frage ist offen. Die hier vertretene Linie (Aktenstück 06) geht davon aus, dass lit. c) ausreicht und § 5 Abs. 2a EStG </w:t>
      </w:r>
      <w:r>
        <w:rPr>
          <w:b/>
        </w:rPr>
        <w:t>nicht</w:t>
      </w:r>
      <w:r>
        <w:t xml:space="preserve"> greift. Im Szenario B unterstellen wir aber arbeitsweise, dass das FA die andere Linie vertritt. Daraus folgt die Ausbuchung.</w:t>
      </w:r>
    </w:p>
    <w:p>
      <w:pPr>
        <w:pStyle w:val="Heading3"/>
      </w:pPr>
      <w:r>
        <w:rPr>
          <w:rFonts w:ascii="Times New Roman" w:hAnsi="Times New Roman"/>
        </w:rPr>
        <w:t>4.3 Wirkung der Ausbuchung — Ertrag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Buchwert Verbindlichkeit am Ausbuchungstag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Ausbuchungsertrag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</w:tbl>
    <w:p>
      <w:pPr>
        <w:jc w:val="left"/>
      </w:pPr>
      <w:r>
        <w:t>Dieser Ertrag ist in der KSt-Erklärung 2026 (bzw. im Liquidationszeitraum) als laufender Gewinn zu erfassen.</w:t>
      </w:r>
    </w:p>
    <w:p>
      <w:pPr>
        <w:pStyle w:val="Heading3"/>
      </w:pPr>
      <w:r>
        <w:rPr>
          <w:rFonts w:ascii="Times New Roman" w:hAnsi="Times New Roman"/>
        </w:rPr>
        <w:t>4.4 § 3a EStG — Sanierungseignung fehlt</w:t>
      </w:r>
    </w:p>
    <w:p>
      <w:pPr>
        <w:jc w:val="left"/>
      </w:pPr>
      <w:r>
        <w:t>Voraussetzungen § 3a EStG (Akte 11 vertieft):</w:t>
      </w:r>
    </w:p>
    <w:p>
      <w:pPr>
        <w:pStyle w:val="ListNumber"/>
      </w:pPr>
      <w:r>
        <w:t>Sanierungsbedürftigkeit;</w:t>
      </w:r>
    </w:p>
    <w:p>
      <w:pPr>
        <w:pStyle w:val="ListNumber"/>
      </w:pPr>
      <w:r>
        <w:t>Sanierungsfähigkeit;</w:t>
      </w:r>
    </w:p>
    <w:p>
      <w:pPr>
        <w:pStyle w:val="ListNumber"/>
      </w:pPr>
      <w:r>
        <w:rPr>
          <w:b/>
        </w:rPr>
        <w:t>Sanierungseignung</w:t>
      </w:r>
      <w:r>
        <w:t>;</w:t>
      </w:r>
    </w:p>
    <w:p>
      <w:pPr>
        <w:pStyle w:val="ListNumber"/>
      </w:pPr>
      <w:r>
        <w:t>Sanierungsabsicht der Gläubiger.</w:t>
      </w:r>
    </w:p>
    <w:p>
      <w:pPr>
        <w:jc w:val="left"/>
      </w:pPr>
      <w:r>
        <w:t xml:space="preserve">Die GmbH wird </w:t>
      </w:r>
      <w:r>
        <w:rPr>
          <w:b/>
        </w:rPr>
        <w:t>liquidiert</w:t>
      </w:r>
      <w:r>
        <w:t>, nicht saniert. Eine Liquidation eignet sich denklogisch nicht zur Erhaltung des Unternehmens, weil das Unternehmen gerade aufgegeben wird (Sanierung = Wiederherstellung der wirtschaftlichen Funktionsfähigkeit; Liquidation = Aufgabe).</w:t>
      </w:r>
    </w:p>
    <w:p>
      <w:pPr>
        <w:jc w:val="left"/>
      </w:pPr>
      <w:r>
        <w:t xml:space="preserve">Damit fehlt </w:t>
      </w:r>
      <w:r>
        <w:rPr>
          <w:b/>
        </w:rPr>
        <w:t>Sanierungseignung</w:t>
      </w:r>
      <w:r>
        <w:t xml:space="preserve">. § 3a EStG findet keine Anwendung. Der Ertrag ist </w:t>
      </w:r>
      <w:r>
        <w:rPr>
          <w:b/>
        </w:rPr>
        <w:t>voll steuerpflichtig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4.5 § 3a Abs. 3 EStG — Verrechnung mit Verlustvorträgen</w:t>
      </w:r>
    </w:p>
    <w:p>
      <w:pPr>
        <w:jc w:val="left"/>
      </w:pPr>
      <w:r>
        <w:t>Selbst wenn § 3a EStG nicht greift, ist der laufende Verlustvortrag der GmbH zu berücksichtigen:</w:t>
      </w:r>
    </w:p>
    <w:p>
      <w:pPr>
        <w:pStyle w:val="ListBullet"/>
      </w:pPr>
      <w:r>
        <w:t xml:space="preserve">KSt-Verlustvortrag zum 15.04.2026 vorläufig: </w:t>
      </w:r>
      <w:r>
        <w:rPr>
          <w:b/>
        </w:rPr>
        <w:t>2.380.000 EUR</w:t>
      </w:r>
      <w:r>
        <w:t>.</w:t>
      </w:r>
    </w:p>
    <w:p>
      <w:pPr>
        <w:pStyle w:val="ListBullet"/>
      </w:pPr>
      <w:r>
        <w:t xml:space="preserve">GewSt-Verlustvortrag zum 15.04.2026 vorläufig: </w:t>
      </w:r>
      <w:r>
        <w:rPr>
          <w:b/>
        </w:rPr>
        <w:t>2.260.000 EUR</w:t>
      </w:r>
      <w:r>
        <w:t xml:space="preserve"> (Differenz wegen Hinzurechnungen).</w:t>
      </w:r>
    </w:p>
    <w:p>
      <w:pPr>
        <w:pStyle w:val="Heading3"/>
      </w:pPr>
      <w:r>
        <w:rPr>
          <w:rFonts w:ascii="Times New Roman" w:hAnsi="Times New Roman"/>
        </w:rPr>
        <w:t>4.6 Verrechnung Ertrag mit Verlustvortrag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Ausbuchungsertrag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+ 2.400.000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+ 2.400.000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Verlustvortrag-Verbrauch (Mindestbesteuerung § 10d Abs. 2 EStG, KSt analog, beachten)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2.380.000 (oder Mindestbesteuerung)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2.260.000 (Mindestbesteuerung GewSt)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Mindestbesteuerung: Sockelbetrag 1.000.000 EUR + 60 % der über 1 Mio. EUR liegenden Restbasis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siehe unten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siehe unten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Verbleibendes zu versteuerndes Einkommen (vor Mindestbesteuerung)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140.000</w:t>
            </w:r>
          </w:p>
        </w:tc>
      </w:tr>
    </w:tbl>
    <w:p>
      <w:pPr>
        <w:jc w:val="left"/>
      </w:pPr>
      <w:r>
        <w:rPr>
          <w:b/>
        </w:rPr>
        <w:t>Mindestbesteuerung detailliert (KSt-Ebene):</w:t>
      </w:r>
    </w:p>
    <w:p>
      <w:pPr>
        <w:pStyle w:val="ListBullet"/>
      </w:pPr>
      <w:r>
        <w:t>Ertrag 2.400.000 EUR</w:t>
      </w:r>
    </w:p>
    <w:p>
      <w:pPr>
        <w:pStyle w:val="ListBullet"/>
      </w:pPr>
      <w:r>
        <w:t>Sockelfreigrenze 1.000.000 EUR (frei verrechenbar)</w:t>
      </w:r>
    </w:p>
    <w:p>
      <w:pPr>
        <w:pStyle w:val="ListBullet"/>
      </w:pPr>
      <w:r>
        <w:t>Restbetrag 1.400.000 EUR; davon zu 60 % verrechenbar = 840.000 EUR</w:t>
      </w:r>
    </w:p>
    <w:p>
      <w:pPr>
        <w:pStyle w:val="ListBullet"/>
      </w:pPr>
      <w:r>
        <w:t>Maximal verrechenbarer Verlustvortrag = 1.000.000 + 840.000 = 1.840.000 EUR</w:t>
      </w:r>
    </w:p>
    <w:p>
      <w:pPr>
        <w:pStyle w:val="ListBullet"/>
      </w:pPr>
      <w:r>
        <w:t>Verbleibender Verlustvortrag nach Verrechnung: 2.380.000 – 1.840.000 = 540.000 EUR (geht mit Löschung der GmbH verloren).</w:t>
      </w:r>
    </w:p>
    <w:p>
      <w:pPr>
        <w:pStyle w:val="ListBullet"/>
      </w:pPr>
      <w:r>
        <w:t xml:space="preserve">Verbleibendes zu versteuerndes Einkommen 2026: 2.400.000 – 1.840.000 = </w:t>
      </w:r>
      <w:r>
        <w:rPr>
          <w:b/>
        </w:rPr>
        <w:t>560.000 EUR</w:t>
      </w:r>
      <w:r>
        <w:t>.</w:t>
      </w:r>
    </w:p>
    <w:p>
      <w:pPr>
        <w:jc w:val="left"/>
      </w:pPr>
      <w:r>
        <w:rPr>
          <w:b/>
        </w:rPr>
        <w:t>Mindestbesteuerung GewSt analog:</w:t>
      </w:r>
    </w:p>
    <w:p>
      <w:pPr>
        <w:pStyle w:val="ListBullet"/>
      </w:pPr>
      <w:r>
        <w:t>Ertrag 2.400.000 EUR</w:t>
      </w:r>
    </w:p>
    <w:p>
      <w:pPr>
        <w:pStyle w:val="ListBullet"/>
      </w:pPr>
      <w:r>
        <w:t>Sockel 1.000.000 EUR</w:t>
      </w:r>
    </w:p>
    <w:p>
      <w:pPr>
        <w:pStyle w:val="ListBullet"/>
      </w:pPr>
      <w:r>
        <w:t>60 % von 1.400.000 EUR = 840.000 EUR</w:t>
      </w:r>
    </w:p>
    <w:p>
      <w:pPr>
        <w:pStyle w:val="ListBullet"/>
      </w:pPr>
      <w:r>
        <w:t>Verrechnungsbeschränkung: 1.840.000 EUR</w:t>
      </w:r>
    </w:p>
    <w:p>
      <w:pPr>
        <w:pStyle w:val="ListBullet"/>
      </w:pPr>
      <w:r>
        <w:t xml:space="preserve">Verbleibender Gewerbeertrag: 2.400.000 – 1.840.000 = </w:t>
      </w:r>
      <w:r>
        <w:rPr>
          <w:b/>
        </w:rPr>
        <w:t>560.000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4.7 Steuerbelastung Szenario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 versteuerndes Einkommen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560.000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15 %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SolZ 5,5 % auf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4.620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GewSt-Hebesatz Berlin 410 % (Stand 2026) auf Messbetrag (560.000 x 3,5 % = 19.600)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80.360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Gesamt-Steuerbelastung Szenario 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168.980</w:t>
            </w:r>
          </w:p>
        </w:tc>
      </w:tr>
    </w:tbl>
    <w:p>
      <w:pPr>
        <w:jc w:val="left"/>
      </w:pPr>
      <w:r>
        <w:t xml:space="preserve">Hinweis: Die exakte Belastung hängt vom finalen Verlustvortragsstand und vom Hebesatz Berlin ab. Die obige Rechnung ist </w:t>
      </w:r>
      <w:r>
        <w:rPr>
          <w:b/>
        </w:rPr>
        <w:t>überschlägig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5. Gesamtergebnis Szenario B</w:t>
      </w:r>
    </w:p>
    <w:p>
      <w:pPr>
        <w:jc w:val="left"/>
      </w:pPr>
      <w:r>
        <w:t xml:space="preserve">Die Ausbuchung des Darlehens in der Liquidationsbilanz führt zu einem steuerpflichtigen Ertrag von 2,4 Mio. EUR. § 3a EStG greift nicht (fehlende Sanierungseignung). Trotz Verlustvortragsverrechnung mit Mindestbesteuerung verbleibt eine KSt/GewSt/SolZ-Belastung von </w:t>
      </w:r>
      <w:r>
        <w:rPr>
          <w:b/>
        </w:rPr>
        <w:t>rund 169.000 EUR</w:t>
      </w:r>
      <w:r>
        <w:t>.</w:t>
      </w:r>
    </w:p>
    <w:p>
      <w:pPr>
        <w:jc w:val="left"/>
      </w:pPr>
      <w:r>
        <w:t>Hinzu kommen Nebenfolgen:</w:t>
      </w:r>
    </w:p>
    <w:p>
      <w:pPr>
        <w:pStyle w:val="ListBullet"/>
      </w:pPr>
      <w:r>
        <w:t>Der verbleibende Verlustvortrag (540.000 EUR KSt) verfällt mit der Löschung.</w:t>
      </w:r>
    </w:p>
    <w:p>
      <w:pPr>
        <w:pStyle w:val="ListBullet"/>
      </w:pPr>
      <w:r>
        <w:t>Liquiditätsproblem: Die Cashbestaende der GmbH (240.000 EUR) decken die Steuerbelastung knapp; eine Auskehr an Frau Strassburger-Wittenburg wäre weiter reduziert.</w:t>
      </w:r>
    </w:p>
    <w:p>
      <w:pPr>
        <w:pStyle w:val="Heading2"/>
      </w:pPr>
      <w:r>
        <w:rPr>
          <w:rFonts w:ascii="Times New Roman" w:hAnsi="Times New Roman"/>
        </w:rPr>
        <w:t>6. Risiken / offene Punkte</w:t>
      </w:r>
    </w:p>
    <w:p>
      <w:pPr>
        <w:pStyle w:val="ListBullet"/>
      </w:pPr>
      <w:r>
        <w:rPr>
          <w:b/>
        </w:rPr>
        <w:t>Wortlautpruefung Rangrücktritt</w:t>
      </w:r>
      <w:r>
        <w:t>: Wenn die Klausel als § 5 Abs. 2a EStG-Falle anerkannt wird, ist Szenario B unvermeidlich. Daher: Wortlautstabilitaet ist entscheidend (Aktenstück 05).</w:t>
      </w:r>
    </w:p>
    <w:p>
      <w:pPr>
        <w:pStyle w:val="ListBullet"/>
      </w:pPr>
      <w:r>
        <w:rPr>
          <w:b/>
        </w:rPr>
        <w:t>§ 3a EStG-Antrag verloren</w:t>
      </w:r>
      <w:r>
        <w:t xml:space="preserve">: Selbst wenn ein Antrag gestellt wird, ist die Sanierungseignung bei reiner Liquidation </w:t>
      </w:r>
      <w:r>
        <w:rPr>
          <w:b/>
        </w:rPr>
        <w:t>denklogisch ausgeschlossen</w:t>
      </w:r>
      <w:r>
        <w:t xml:space="preserve"> (vgl. Akte 11).</w:t>
      </w:r>
    </w:p>
    <w:p>
      <w:pPr>
        <w:pStyle w:val="ListBullet"/>
      </w:pPr>
      <w:r>
        <w:rPr>
          <w:b/>
        </w:rPr>
        <w:t>Risiko für Frau Strassburger-Wittenburg</w:t>
      </w:r>
      <w:r>
        <w:t>: Die Steuerbelastung der GmbH trifft sie wirtschaftlich, weil sie als Alleingesellschafterin nach Abschluss der Liquidation den verbleibenden Cash erhält — abzüglich der Steuern.</w:t>
      </w:r>
    </w:p>
    <w:p>
      <w:pPr>
        <w:pStyle w:val="Heading2"/>
      </w:pPr>
      <w:r>
        <w:rPr>
          <w:rFonts w:ascii="Times New Roman" w:hAnsi="Times New Roman"/>
        </w:rPr>
        <w:t>7. Empfehlung</w:t>
      </w:r>
    </w:p>
    <w:p>
      <w:pPr>
        <w:pStyle w:val="ListBullet"/>
      </w:pPr>
      <w:r>
        <w:t>Szenario B vermeiden, soweit möglich. Daher:</w:t>
      </w:r>
    </w:p>
    <w:p>
      <w:pPr>
        <w:pStyle w:val="ListBullet"/>
      </w:pPr>
      <w:r>
        <w:t>Rangruecktrittsklausel wortlauttreu beibehalten (Aktenstück 05);</w:t>
      </w:r>
    </w:p>
    <w:p>
      <w:pPr>
        <w:pStyle w:val="ListBullet"/>
      </w:pPr>
      <w:r>
        <w:t>Verbindliche Auskunft beim FA Berlin-Charlottenburg einholen, die Szenario A bestätigt (Aktenstück 13);</w:t>
      </w:r>
    </w:p>
    <w:p>
      <w:pPr>
        <w:pStyle w:val="ListBullet"/>
      </w:pPr>
      <w:r>
        <w:t>Im Falle der Ablehnung: Klage Finanzgericht Berlin-Brandenburg in Erwägung ziehen.</w:t>
      </w:r>
    </w:p>
    <w:p>
      <w:pPr>
        <w:pStyle w:val="Heading2"/>
      </w:pPr>
      <w:r>
        <w:rPr>
          <w:rFonts w:ascii="Times New Roman" w:hAnsi="Times New Roman"/>
        </w:rPr>
        <w:t>8. Querverweise</w:t>
      </w:r>
    </w:p>
    <w:p>
      <w:pPr>
        <w:pStyle w:val="ListBullet"/>
      </w:pPr>
      <w:r>
        <w:t>Akte 05: Rangruecktrittsvereinbarung.</w:t>
      </w:r>
    </w:p>
    <w:p>
      <w:pPr>
        <w:pStyle w:val="ListBullet"/>
      </w:pPr>
      <w:r>
        <w:t>Akte 06: § 5 Abs. 2a EStG-Pruefung.</w:t>
      </w:r>
    </w:p>
    <w:p>
      <w:pPr>
        <w:pStyle w:val="ListBullet"/>
      </w:pPr>
      <w:r>
        <w:t>Akte 08: Szenario A (gegenläufig).</w:t>
      </w:r>
    </w:p>
    <w:p>
      <w:pPr>
        <w:pStyle w:val="ListBullet"/>
      </w:pPr>
      <w:r>
        <w:t>Akte 11: § 3a EStG-Pruefung — Sanierungseignung fehlt.</w:t>
      </w:r>
    </w:p>
    <w:p>
      <w:pPr>
        <w:pStyle w:val="ListBullet"/>
      </w:pPr>
      <w:r>
        <w:t>Akte 12: § 3a Abs. 3 EStG / Verlustvortragsverrechnung.</w:t>
      </w:r>
    </w:p>
    <w:p>
      <w:pPr>
        <w:pStyle w:val="ListBullet"/>
      </w:pPr>
      <w:r>
        <w:t>Akte 18: CSV-Szenarienrechnung.</w:t>
      </w:r>
    </w:p>
    <w:p>
      <w:pPr>
        <w:pStyle w:val="Heading2"/>
      </w:pPr>
      <w:r>
        <w:rPr>
          <w:rFonts w:ascii="Times New Roman" w:hAnsi="Times New Roman"/>
        </w:rPr>
        <w:t>9. Quellenverzeichnis</w:t>
      </w:r>
    </w:p>
    <w:p>
      <w:pPr>
        <w:pStyle w:val="Heading3"/>
      </w:pPr>
      <w:r>
        <w:rPr>
          <w:rFonts w:ascii="Times New Roman" w:hAnsi="Times New Roman"/>
        </w:rPr>
        <w:t>Normen</w:t>
      </w:r>
    </w:p>
    <w:p>
      <w:pPr>
        <w:pStyle w:val="ListBullet"/>
      </w:pPr>
      <w:r>
        <w:t>§ 5 Abs. 2a EStG.</w:t>
      </w:r>
    </w:p>
    <w:p>
      <w:pPr>
        <w:pStyle w:val="ListBullet"/>
      </w:pPr>
      <w:r>
        <w:t>§ 6 Abs. 1 Nr. 3 EStG i.V.m. § 12 Abs. 1 BewG.</w:t>
      </w:r>
    </w:p>
    <w:p>
      <w:pPr>
        <w:pStyle w:val="ListBullet"/>
      </w:pPr>
      <w:r>
        <w:t>§ 3a EStG; § 3a Abs. 2, 3 EStG.</w:t>
      </w:r>
    </w:p>
    <w:p>
      <w:pPr>
        <w:pStyle w:val="ListBullet"/>
      </w:pPr>
      <w:r>
        <w:t>§ 10d Abs. 2 EStG (Mindestbesteuerung), § 8 Abs. 1 KStG.</w:t>
      </w:r>
    </w:p>
    <w:p>
      <w:pPr>
        <w:pStyle w:val="ListBullet"/>
      </w:pPr>
      <w:r>
        <w:t>§ 11 KStG.</w:t>
      </w:r>
    </w:p>
    <w:p>
      <w:pPr>
        <w:pStyle w:val="ListBullet"/>
      </w:pPr>
      <w:r>
        <w:t>§ 7b GewStG; § 36 Abs. 2c GewStG.</w:t>
      </w:r>
    </w:p>
    <w:p>
      <w:pPr>
        <w:pStyle w:val="Heading3"/>
      </w:pPr>
      <w:r>
        <w:rPr>
          <w:rFonts w:ascii="Times New Roman" w:hAnsi="Times New Roman"/>
        </w:rPr>
        <w:t>Rechtsprechung (verifiziert)</w:t>
      </w:r>
    </w:p>
    <w:p>
      <w:pPr>
        <w:pStyle w:val="ListBullet"/>
      </w:pPr>
      <w:r>
        <w:rPr>
          <w:b/>
        </w:rPr>
        <w:t>BFH, Urt. v. 19.08.2020 — XI R 32/18, BStBl. II 2021, 279</w:t>
      </w:r>
      <w:r>
        <w:t xml:space="preserve"> — Anwendung § 5 Abs. 2a EStG bei qualifiziertem Rangrücktritt.</w:t>
      </w:r>
    </w:p>
    <w:p>
      <w:pPr>
        <w:pStyle w:val="ListBullet"/>
      </w:pPr>
      <w:r>
        <w:rPr>
          <w:b/>
        </w:rPr>
        <w:t>BFH, Urt. v. 30.11.2011 — I R 100/10, DStR 2012, 450</w:t>
      </w:r>
      <w:r>
        <w:t xml:space="preserve"> — wirtschaftliche Belastung als Passivierungsvoraussetzung.</w:t>
      </w:r>
    </w:p>
    <w:p>
      <w:pPr>
        <w:pStyle w:val="ListBullet"/>
      </w:pPr>
      <w:r>
        <w:rPr>
          <w:b/>
        </w:rPr>
        <w:t>FG Koeln, Urt. v. 06.03.2012 — 13 K 3006/11, GmbHR 2012, 977</w:t>
      </w:r>
      <w:r>
        <w:t xml:space="preserve"> (vorgehend zu BFH I R 34/12) — Os. 7 (gegenläufig zu Szenario B).</w:t>
      </w:r>
    </w:p>
    <w:p>
      <w:pPr>
        <w:pStyle w:val="ListBullet"/>
      </w:pPr>
      <w:r>
        <w:rPr>
          <w:b/>
        </w:rPr>
        <w:t>BFH, Beschl. v. 05.02.2014 — I R 34/12, BFH/NV 2014, 1014</w:t>
      </w:r>
      <w:r>
        <w:t xml:space="preserve"> — Ls. 3.</w:t>
      </w:r>
    </w:p>
    <w:p>
      <w:pPr>
        <w:pStyle w:val="ListBullet"/>
      </w:pPr>
      <w:r>
        <w:rPr>
          <w:b/>
        </w:rPr>
        <w:t>FG Düsseldorf, Urt. v. 18.09.2018 — 6 K 454/15 K, DStRE 2019</w:t>
      </w:r>
      <w:r>
        <w:t xml:space="preserve"> — Mindestbesteuerung Definitiveffekt; Rev. anh. BFH I R 36/18 (ausgesetzt BVerfG 2 BvL 19/14, Vorlage BFH I R 59/12).</w:t>
      </w:r>
    </w:p>
    <w:p>
      <w:pPr>
        <w:pStyle w:val="Heading3"/>
      </w:pPr>
      <w:r>
        <w:rPr>
          <w:rFonts w:ascii="Times New Roman" w:hAnsi="Times New Roman"/>
        </w:rPr>
        <w:t>Verwaltungsauffassung</w:t>
      </w:r>
    </w:p>
    <w:p>
      <w:pPr>
        <w:pStyle w:val="ListBullet"/>
      </w:pPr>
      <w:r>
        <w:rPr>
          <w:b/>
        </w:rPr>
        <w:t>OFD Frankfurt a. M., Rundverfügung v. 26.07.2021 — S 2743 A-12-St 523, Originalquelle oder frei pruefbare Quelle vor Ausgabe pruefen</w:t>
      </w:r>
      <w:r>
        <w:t>.</w:t>
      </w:r>
    </w:p>
    <w:p>
      <w:pPr>
        <w:pStyle w:val="ListBullet"/>
      </w:pPr>
      <w:r>
        <w:rPr>
          <w:b/>
        </w:rPr>
        <w:t>OFD Frankfurt, Verfügung v. 27.12.2018, Originalquelle oder frei pruefbare Quelle vor Ausgabe pruefen</w:t>
      </w:r>
      <w:r>
        <w:t xml:space="preserve"> — Einsprüche Mindestbesteuerung ruhend stellen.</w:t>
      </w:r>
    </w:p>
    <w:p>
      <w:pPr>
        <w:pStyle w:val="Heading3"/>
      </w:pPr>
      <w:r>
        <w:rPr>
          <w:rFonts w:ascii="Times New Roman" w:hAnsi="Times New Roman"/>
        </w:rPr>
        <w:t>Literatur</w:t>
      </w:r>
    </w:p>
    <w:p>
      <w:pPr>
        <w:pStyle w:val="ListBullet"/>
      </w:pPr>
      <w:r>
        <w:t>Bergmann, Diss. 2012, S. 145 ff.; Dietrich/Weber, DStR 2019, 966, 970; Stalbold, in: Gosch, KStG, § 11 Rn. 72 — herrschende Linie (gegen Ausbuchung vor Löschung).</w:t>
      </w:r>
    </w:p>
    <w:p>
      <w:pPr>
        <w:pStyle w:val="ListBullet"/>
      </w:pPr>
      <w:r>
        <w:t>S. Neumann, Ubg 2016, 256, 257 f.; Brinkmann, StBp 2021, 246, 250 — Gegenposition.</w:t>
      </w:r>
    </w:p>
    <w:p>
      <w:pPr>
        <w:pStyle w:val="Heading3"/>
      </w:pPr>
      <w:r>
        <w:rPr>
          <w:rFonts w:ascii="Times New Roman" w:hAnsi="Times New Roman"/>
        </w:rPr>
        <w:t>Definitiveffekt-Argument</w:t>
      </w:r>
    </w:p>
    <w:p>
      <w:pPr>
        <w:jc w:val="left"/>
      </w:pPr>
      <w:r>
        <w:t xml:space="preserve">Bei Anwendung der Mindestbesteuerung in Szenario B entsteht ein </w:t>
      </w:r>
      <w:r>
        <w:rPr>
          <w:b/>
        </w:rPr>
        <w:t>Definitiveffekt</w:t>
      </w:r>
      <w:r>
        <w:t>, weil die GmbH mit Löschung den verbleibenden Verlustvortrag verliert. Dies ist verfassungsrechtlich fragwürdig (Art. 3 Abs. 1 GG). Einspruch ruhend stellen (OFD Frankfurt v. 27.12.2018; FG Düsseldorf 6 K 454/15 K).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Strassburger Handelshof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Strassburger Handelshof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HRB 188742 B AG Charlottenburg · Aktenzeichen Kanzlei: PE-2026-LIQ-0188 / Szena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