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Szenario C — Freiwilliger Verzicht der Gesellschafterin auf das Darlehen</w:t>
      </w:r>
    </w:p>
    <w:p>
      <w:pPr>
        <w:jc w:val="left"/>
      </w:pPr>
      <w:r>
        <w:rPr>
          <w:b/>
        </w:rPr>
        <w:t>Verfasserin:</w:t>
      </w:r>
      <w:r>
        <w:t xml:space="preserve"> StB/RAin Dr. Cordula Pinneberg-Talheim</w:t>
      </w:r>
    </w:p>
    <w:p>
      <w:pPr>
        <w:jc w:val="left"/>
      </w:pPr>
      <w:r>
        <w:rPr>
          <w:b/>
        </w:rPr>
        <w:t>Datum:</w:t>
      </w:r>
      <w:r>
        <w:t xml:space="preserve"> 27.05.2026</w:t>
      </w:r>
    </w:p>
    <w:p>
      <w:pPr>
        <w:jc w:val="left"/>
      </w:pPr>
      <w:r>
        <w:rPr>
          <w:b/>
        </w:rPr>
        <w:t>Mandantin:</w:t>
      </w:r>
      <w:r>
        <w:t xml:space="preserve"> Strassburger Handelshof GmbH i.L., HRB 188742 B AG Charlottenburg</w:t>
      </w:r>
    </w:p>
    <w:p>
      <w:pPr>
        <w:jc w:val="left"/>
      </w:pPr>
      <w:r>
        <w:rPr>
          <w:b/>
        </w:rPr>
        <w:t>Aktenzeichen Kanzlei:</w:t>
      </w:r>
      <w:r>
        <w:t xml:space="preserve"> PE-2026-LIQ-0188 / Szenario C</w:t>
      </w:r>
    </w:p>
    <w:p>
      <w:pPr>
        <w:jc w:val="left"/>
      </w:pPr>
      <w:r>
        <w:rPr>
          <w:b/>
        </w:rPr>
        <w:t>Stil:</w:t>
      </w:r>
      <w:r>
        <w:t xml:space="preserve"> Gutachtenstil</w:t>
      </w:r>
    </w:p>
    <w:p/>
    <w:p>
      <w:pPr>
        <w:pStyle w:val="Heading2"/>
      </w:pPr>
      <w:r>
        <w:rPr>
          <w:rFonts w:ascii="Times New Roman" w:hAnsi="Times New Roman"/>
        </w:rPr>
        <w:t>1. Annahme (Arbeitshypothese)</w:t>
      </w:r>
    </w:p>
    <w:p>
      <w:pPr>
        <w:jc w:val="left"/>
      </w:pPr>
      <w:r>
        <w:t xml:space="preserve">Frau Strassburger-Wittenburg erklärt — etwa im Mai oder Juni 2026 — gegenüber der Strassburger Handelshof GmbH i.L. den </w:t>
      </w:r>
      <w:r>
        <w:rPr>
          <w:b/>
        </w:rPr>
        <w:t>ausdrücklichen Verzicht</w:t>
      </w:r>
      <w:r>
        <w:t xml:space="preserve"> auf ihre Darlehensforderung. Rechtsform: einseitiger Erlassvertrag nach § 397 BGB (oder schlichter Schulderlass durch zweiseitige Vereinbarung mit Annahme durch die Liquidatorin in Personalunion).</w:t>
      </w:r>
    </w:p>
    <w:p>
      <w:pPr>
        <w:pStyle w:val="Heading2"/>
      </w:pPr>
      <w:r>
        <w:rPr>
          <w:rFonts w:ascii="Times New Roman" w:hAnsi="Times New Roman"/>
        </w:rPr>
        <w:t>2. Frage</w:t>
      </w:r>
    </w:p>
    <w:p>
      <w:pPr>
        <w:jc w:val="left"/>
      </w:pPr>
      <w:r>
        <w:t>Welche steuerlichen Folgen entstehen — auf Gesellschaftsebene (KSt, GewSt) und auf Privatebene (§ 17 EStG)?</w:t>
      </w:r>
    </w:p>
    <w:p>
      <w:pPr>
        <w:pStyle w:val="Heading2"/>
      </w:pPr>
      <w:r>
        <w:rPr>
          <w:rFonts w:ascii="Times New Roman" w:hAnsi="Times New Roman"/>
        </w:rPr>
        <w:t>3. Kurzantwort</w:t>
      </w:r>
    </w:p>
    <w:p>
      <w:pPr>
        <w:jc w:val="left"/>
      </w:pPr>
      <w:r>
        <w:t xml:space="preserve">Auf Gesellschaftsebene entsteht ein </w:t>
      </w:r>
      <w:r>
        <w:rPr>
          <w:b/>
        </w:rPr>
        <w:t>steuerpflichtiger Ertrag in Höhe der Verbindlichkeit</w:t>
      </w:r>
      <w:r>
        <w:t xml:space="preserve"> (2,4 Mio. EUR im Wirtschaftsjahr 2026). § 3a EStG </w:t>
      </w:r>
      <w:r>
        <w:rPr>
          <w:b/>
        </w:rPr>
        <w:t>greift nicht</w:t>
      </w:r>
      <w:r>
        <w:t xml:space="preserve"> (Sanierungseignung fehlt). Verlustvorträge reduzieren die Bemessungsgrundlage; eine Restbelastung verbleibt (vgl. Berechnung in Akte 09).</w:t>
      </w:r>
    </w:p>
    <w:p>
      <w:pPr>
        <w:jc w:val="left"/>
      </w:pPr>
      <w:r>
        <w:t>Auf Privatebene: Der Verzicht führt zu nachträglichen Anschaffungskosten auf den Geschäftsanteil (soweit unter der neueren BFH-Rspr. anerkannt) und schlägt im Auflösungsverlust § 17 Abs. 4 EStG durch (Akte 14).</w:t>
      </w:r>
    </w:p>
    <w:p>
      <w:pPr>
        <w:pStyle w:val="Heading2"/>
      </w:pPr>
      <w:r>
        <w:rPr>
          <w:rFonts w:ascii="Times New Roman" w:hAnsi="Times New Roman"/>
        </w:rPr>
        <w:t>4. Rechtliche Bewertung (Gutachtenstil)</w:t>
      </w:r>
    </w:p>
    <w:p>
      <w:pPr>
        <w:pStyle w:val="Heading3"/>
      </w:pPr>
      <w:r>
        <w:rPr>
          <w:rFonts w:ascii="Times New Roman" w:hAnsi="Times New Roman"/>
        </w:rPr>
        <w:t>4.1 Zivilrechtliche Wirksamkeit des Verzichts</w:t>
      </w:r>
    </w:p>
    <w:p>
      <w:pPr>
        <w:jc w:val="left"/>
      </w:pPr>
      <w:r>
        <w:t>§ 397 BGB:</w:t>
      </w:r>
    </w:p>
    <w:p>
      <w:pPr>
        <w:ind w:left="567"/>
      </w:pPr>
      <w:r>
        <w:rPr>
          <w:i/>
        </w:rPr>
        <w:t>(1) Das Schuldverhältnis erlischt, wenn der Gläubiger dem Schuldner durch Vertrag die Schuld erlässt.</w:t>
      </w:r>
    </w:p>
    <w:p>
      <w:pPr>
        <w:ind w:left="567"/>
      </w:pPr>
      <w:r>
        <w:rPr>
          <w:i/>
        </w:rPr>
        <w:t>(2) Das Gleiche gilt, wenn der Gläubiger durch Vertrag mit dem Schuldner anerkennt, dass das Schuldverhältnis nicht bestehe.</w:t>
      </w:r>
    </w:p>
    <w:p>
      <w:pPr>
        <w:jc w:val="left"/>
      </w:pPr>
      <w:r>
        <w:t xml:space="preserve">Der Verzicht ist ein </w:t>
      </w:r>
      <w:r>
        <w:rPr>
          <w:b/>
        </w:rPr>
        <w:t>zweiseitiger Vertrag</w:t>
      </w:r>
      <w:r>
        <w:t>. Frau Strassburger-Wittenburg als Gläubigerin und die Liquidatorin (Frau Strassburger-Wittenburg in dieser Funktion) als Vertreterin der Schuldnerin können ihn schliessen; § 181 BGB-Befreiung liegt vor.</w:t>
      </w:r>
    </w:p>
    <w:p>
      <w:pPr>
        <w:pStyle w:val="Heading3"/>
      </w:pPr>
      <w:r>
        <w:rPr>
          <w:rFonts w:ascii="Times New Roman" w:hAnsi="Times New Roman"/>
        </w:rPr>
        <w:t>4.2 Konsequenz auf Gesellschaftsebene</w:t>
      </w:r>
    </w:p>
    <w:p>
      <w:pPr>
        <w:jc w:val="left"/>
      </w:pPr>
      <w:r>
        <w:t xml:space="preserve">Mit Wirksamwerden des Verzichts erlischt die Darlehensforderung. Bilanztechnisch ist die Verbindlichkeit </w:t>
      </w:r>
      <w:r>
        <w:rPr>
          <w:b/>
        </w:rPr>
        <w:t>erfolgswirksam aufzulösen</w:t>
      </w:r>
      <w:r>
        <w:t xml:space="preserve"> (Ertrag in Höhe von 2.400.000 EUR).</w:t>
      </w:r>
    </w:p>
    <w:p>
      <w:pPr>
        <w:jc w:val="left"/>
      </w:pPr>
      <w:r>
        <w:t xml:space="preserve">Da der Gläubiger zugleich Gesellschafterin ist, ist zu fragen, ob der Verzicht </w:t>
      </w:r>
      <w:r>
        <w:rPr>
          <w:b/>
        </w:rPr>
        <w:t>gesellschaftsrechtlich veranlasst</w:t>
      </w:r>
      <w:r>
        <w:t xml:space="preserve"> ist und damit eine </w:t>
      </w:r>
      <w:r>
        <w:rPr>
          <w:b/>
        </w:rPr>
        <w:t>verdeckte Einlage</w:t>
      </w:r>
      <w:r>
        <w:t xml:space="preserve"> darstellt. Nach staend. Rspr. des BFH (insbesondere BFH GroSenat) gilt:</w:t>
      </w:r>
    </w:p>
    <w:p>
      <w:pPr>
        <w:pStyle w:val="ListBullet"/>
      </w:pPr>
      <w:r>
        <w:t xml:space="preserve">Soweit die Forderung im Zeitpunkt des Verzichts </w:t>
      </w:r>
      <w:r>
        <w:rPr>
          <w:b/>
        </w:rPr>
        <w:t>werthaltig</w:t>
      </w:r>
      <w:r>
        <w:t xml:space="preserve"> ist, liegt eine </w:t>
      </w:r>
      <w:r>
        <w:rPr>
          <w:b/>
        </w:rPr>
        <w:t>verdeckte Einlage</w:t>
      </w:r>
      <w:r>
        <w:t xml:space="preserve"> vor (gewinnneutral, Kapitaleinlage).</w:t>
      </w:r>
    </w:p>
    <w:p>
      <w:pPr>
        <w:pStyle w:val="ListBullet"/>
      </w:pPr>
      <w:r>
        <w:t xml:space="preserve">Soweit die Forderung im Zeitpunkt des Verzichts </w:t>
      </w:r>
      <w:r>
        <w:rPr>
          <w:b/>
        </w:rPr>
        <w:t>nicht werthaltig</w:t>
      </w:r>
      <w:r>
        <w:t xml:space="preserve"> ist (typischer Sanierungs- und Liquidationsfall), liegt ein </w:t>
      </w:r>
      <w:r>
        <w:rPr>
          <w:b/>
        </w:rPr>
        <w:t>steuerlicher Ertrag</w:t>
      </w:r>
      <w:r>
        <w:t xml:space="preserve"> vor.</w:t>
      </w:r>
    </w:p>
    <w:p>
      <w:pPr>
        <w:jc w:val="left"/>
      </w:pPr>
      <w:r>
        <w:t>Hier ist die Werthaltigkeit zu prüfen:</w:t>
      </w:r>
    </w:p>
    <w:p>
      <w:pPr>
        <w:pStyle w:val="ListBullet"/>
      </w:pPr>
      <w:r>
        <w:t>Aktiva 300.000 EUR; nichtnachrangige Verbindlichkeiten 400.000 EUR. Der Liquidationsüberschuss wäre — vor Verzicht — wahrscheinlich nahe 0 EUR (Aktiva reichen knapp).</w:t>
      </w:r>
    </w:p>
    <w:p>
      <w:pPr>
        <w:pStyle w:val="ListBullet"/>
      </w:pPr>
      <w:r>
        <w:t xml:space="preserve">Die nachrangige Darlehensforderung hätte in der Liquidation </w:t>
      </w:r>
      <w:r>
        <w:rPr>
          <w:b/>
        </w:rPr>
        <w:t>kaum Aussicht auf Befriedigung</w:t>
      </w:r>
      <w:r>
        <w:t xml:space="preserve"> aus dem Aktivvermögen. Die Werthaltigkeit ist also gering bis null.</w:t>
      </w:r>
    </w:p>
    <w:p>
      <w:pPr>
        <w:jc w:val="left"/>
      </w:pPr>
      <w:r>
        <w:rPr>
          <w:b/>
        </w:rPr>
        <w:t>Konsequenz:</w:t>
      </w:r>
      <w:r>
        <w:t xml:space="preserve"> Der Verzicht ist im Wesentlichen erfolgswirksam (Ertrag). Eine verdeckte Einlage entsteht nur in dem Umfang, in dem die Forderung als werthaltig anzusehen ist — hier nahezu null EUR.</w:t>
      </w:r>
    </w:p>
    <w:p>
      <w:pPr>
        <w:jc w:val="left"/>
      </w:pPr>
      <w:r>
        <w:rPr>
          <w:b/>
        </w:rPr>
        <w:t>Berechnung: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Buchwert Darlehensverbindlichkeit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davon werthaltig (geschätzt 0–50 TEUR)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davon nicht werthaltig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Verdeckte Einlage (gewinnneutral)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Steuerpflichtiger 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2.400.000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4.3 § 3a EStG-Pruefung</w:t>
      </w:r>
    </w:p>
    <w:p>
      <w:pPr>
        <w:jc w:val="left"/>
      </w:pPr>
      <w:r>
        <w:t xml:space="preserve">§ 3a EStG verlangt eine </w:t>
      </w:r>
      <w:r>
        <w:rPr>
          <w:b/>
        </w:rPr>
        <w:t>Sanierungseignung</w:t>
      </w:r>
      <w:r>
        <w:t xml:space="preserve">. Wie in Akte 11 ausgeführt: Bei Liquidation fehlt die Sanierungseignung denklogisch. Damit greift § 3a EStG </w:t>
      </w:r>
      <w:r>
        <w:rPr>
          <w:b/>
        </w:rPr>
        <w:t>nicht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4.4 Verrechnung mit Verlustvortrag</w:t>
      </w:r>
    </w:p>
    <w:p>
      <w:pPr>
        <w:jc w:val="left"/>
      </w:pPr>
      <w:r>
        <w:t>Die Berechnung entspricht dem Szenario B (Akte 09):</w:t>
      </w:r>
    </w:p>
    <w:p>
      <w:pPr>
        <w:pStyle w:val="ListBullet"/>
      </w:pPr>
      <w:r>
        <w:t>Bemessungsgrundlage nach Mindestbesteuerung 560.000 EUR</w:t>
      </w:r>
    </w:p>
    <w:p>
      <w:pPr>
        <w:pStyle w:val="ListBullet"/>
      </w:pPr>
      <w:r>
        <w:t>KSt 15 % + SolZ = 88.620 EUR</w:t>
      </w:r>
    </w:p>
    <w:p>
      <w:pPr>
        <w:pStyle w:val="ListBullet"/>
      </w:pPr>
      <w:r>
        <w:t>GewSt (Hebesatz 410 % Berlin) = 80.360 EUR</w:t>
      </w:r>
    </w:p>
    <w:p>
      <w:pPr>
        <w:pStyle w:val="ListBullet"/>
      </w:pPr>
      <w:r>
        <w:rPr>
          <w:b/>
        </w:rPr>
        <w:t>Steuerbelastung gesamt ca. 169.000 EUR</w:t>
      </w:r>
    </w:p>
    <w:p>
      <w:pPr>
        <w:pStyle w:val="Heading3"/>
      </w:pPr>
      <w:r>
        <w:rPr>
          <w:rFonts w:ascii="Times New Roman" w:hAnsi="Times New Roman"/>
        </w:rPr>
        <w:t>4.5 Privatebene (§ 17 EStG, Akte 14)</w:t>
      </w:r>
    </w:p>
    <w:p>
      <w:pPr>
        <w:jc w:val="left"/>
      </w:pPr>
      <w:r>
        <w:t xml:space="preserve">Mit dem Verzicht erleidet Frau Strassburger-Wittenburg einen Vermögensverlust in Höhe von 2,4 Mio. EUR. Dieser kann unter den Voraussetzungen der neueren BFH-Rspr. (insb. BFH IX R 36/15, BFH X R 5/16 — Aktualität prüfen) als </w:t>
      </w:r>
      <w:r>
        <w:rPr>
          <w:b/>
        </w:rPr>
        <w:t>nachträgliche Anschaffungskosten</w:t>
      </w:r>
      <w:r>
        <w:t xml:space="preserve"> auf den GmbH-Anteil berücksichtigt werden, sofern:</w:t>
      </w:r>
    </w:p>
    <w:p>
      <w:pPr>
        <w:pStyle w:val="ListBullet"/>
      </w:pPr>
      <w:r>
        <w:t>die Darlehensgewährung / das Stehenlassen in der Krise gesellschaftsrechtlich veranlasst war (Krise vorhanden? Hier: ja, seit COVID);</w:t>
      </w:r>
    </w:p>
    <w:p>
      <w:pPr>
        <w:pStyle w:val="ListBullet"/>
      </w:pPr>
      <w:r>
        <w:t>ein Verzicht in der Krise erfolgt.</w:t>
      </w:r>
    </w:p>
    <w:p>
      <w:pPr>
        <w:jc w:val="left"/>
      </w:pPr>
      <w:r>
        <w:t>Da die Darlehensgabe und der Rangrücktritt 2018 und 2021 in der Krise erfolgten und der Verzicht jetzt in der Liquidation erklärt wird, kommen nachträgliche AK in Betracht.</w:t>
      </w:r>
    </w:p>
    <w:p>
      <w:pPr>
        <w:jc w:val="left"/>
      </w:pPr>
      <w:r>
        <w:t>Auflösungsverlust § 17 Abs. 4 EStG (Privatebene):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Anschaffungskosten Stammkapital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Nachträgliche AK aus Darlehensverzicht (soweit gesellschaftsrechtlich veranlasst und werthaltig im Hingabezeitpunkt)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zu 2.400.000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Auflösungserlös (= Auszahlung Liquidationsanteil; im Fall Strassburger nach Befriedigung 0)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Verlust nach § 17 Abs. 4 EStG (vor Teileinkuenfteverfahren)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zu 2.425.000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Teileinkuenfteverfahren § 3 Nr. 40c EStG (40 % nicht abziehbar)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60 % anwendbar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Steuerlich anrechenbar (bei Frau S.-W.)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1.455.000</w:t>
            </w:r>
          </w:p>
        </w:tc>
      </w:tr>
    </w:tbl>
    <w:p>
      <w:pPr>
        <w:jc w:val="left"/>
      </w:pPr>
      <w:r>
        <w:t>Hierbei ist allerdings die genaue Behandlung des Darlehensverlustes nach der neueren Rechtsprechung individuell zu prüfen (siehe Akte 14).</w:t>
      </w:r>
    </w:p>
    <w:p>
      <w:pPr>
        <w:pStyle w:val="Heading2"/>
      </w:pPr>
      <w:r>
        <w:rPr>
          <w:rFonts w:ascii="Times New Roman" w:hAnsi="Times New Roman"/>
        </w:rPr>
        <w:t>5. Gesamtergebnis Szenario C</w:t>
      </w:r>
    </w:p>
    <w:p>
      <w:pPr>
        <w:jc w:val="left"/>
      </w:pPr>
      <w:r>
        <w:t xml:space="preserve">Steuerlich vergleichbar mit Szenario B. Unterschied: Der Ertrag entsteht </w:t>
      </w:r>
      <w:r>
        <w:rPr>
          <w:b/>
        </w:rPr>
        <w:t>zeitlich früher</w:t>
      </w:r>
      <w:r>
        <w:t xml:space="preserve"> (Verzichtsjahr), und auf Privatebene wird der Verlust nach § 17 Abs. 4 EStG vorgezogen.</w:t>
      </w:r>
    </w:p>
    <w:p>
      <w:pPr>
        <w:jc w:val="left"/>
      </w:pPr>
      <w:r>
        <w:rPr>
          <w:b/>
        </w:rPr>
        <w:t>Nettowirkung Mandantin gegenüber Szenario A</w:t>
      </w:r>
      <w:r>
        <w:t>:</w:t>
      </w:r>
    </w:p>
    <w:p>
      <w:pPr>
        <w:pStyle w:val="ListBullet"/>
      </w:pPr>
      <w:r>
        <w:t>GmbH-Steuer Szenario C: – 169.000 EUR</w:t>
      </w:r>
    </w:p>
    <w:p>
      <w:pPr>
        <w:pStyle w:val="ListBullet"/>
      </w:pPr>
      <w:r>
        <w:t xml:space="preserve">ESt-Ersparnis aus § 17 EStG-Verlust (Privatebene; je nach pers. Steuersatz, hier angenommen Spitzensteuersatz 45 %, x 1.455.000 x 60 %): bis zu </w:t>
      </w:r>
      <w:r>
        <w:rPr>
          <w:b/>
        </w:rPr>
        <w:t>+ 392.850 EUR</w:t>
      </w:r>
      <w:r>
        <w:t>.</w:t>
      </w:r>
    </w:p>
    <w:p>
      <w:pPr>
        <w:pStyle w:val="ListBullet"/>
      </w:pPr>
      <w:r>
        <w:t xml:space="preserve">Saldo Szenario C wäre damit netto wirtschaftlich besser als ein steuerneutraler "Tod" der Verbindlichkeit (vgl. Szenario A), </w:t>
      </w:r>
      <w:r>
        <w:rPr>
          <w:b/>
        </w:rPr>
        <w:t>wenn</w:t>
      </w:r>
      <w:r>
        <w:t xml:space="preserve"> der § 17-Verlust voll anerkannt wird.</w:t>
      </w:r>
    </w:p>
    <w:p>
      <w:pPr>
        <w:pStyle w:val="ListBullet"/>
      </w:pPr>
      <w:r>
        <w:t>Realistisch sind aber Einschränkungen (Verlustverrechnung der Mandantin: hat sie genügend positive Einkünfte zur Verrechnung des 1,455-Mio-EUR-Verlustes?). Bei Spitzeneinkommen aus Wertpapieren und Renten reicht der Saldo nicht aus; Verlust geht über Verlustvortrag § 17 EStG i.V.m. § 10d EStG in Folgejahre.</w:t>
      </w:r>
    </w:p>
    <w:p>
      <w:pPr>
        <w:pStyle w:val="Heading2"/>
      </w:pPr>
      <w:r>
        <w:rPr>
          <w:rFonts w:ascii="Times New Roman" w:hAnsi="Times New Roman"/>
        </w:rPr>
        <w:t>6. Risiken / offene Punkte</w:t>
      </w:r>
    </w:p>
    <w:p>
      <w:pPr>
        <w:pStyle w:val="ListBullet"/>
      </w:pPr>
      <w:r>
        <w:rPr>
          <w:b/>
        </w:rPr>
        <w:t>Anerkennung des Darlehensverlusts als nachtragliche AK</w:t>
      </w:r>
      <w:r>
        <w:t>: Streng formal prüfen (Akte 14). Bei Stehenlassen in der Krise + Verzicht in der Liquidation regelmaessig anerkannt; aber Rechtsprechung im Fluss.</w:t>
      </w:r>
    </w:p>
    <w:p>
      <w:pPr>
        <w:pStyle w:val="ListBullet"/>
      </w:pPr>
      <w:r>
        <w:rPr>
          <w:b/>
        </w:rPr>
        <w:t>Werthaltigkeit der Forderung im Hingabezeitpunkt</w:t>
      </w:r>
      <w:r>
        <w:t>: Wenn das FA die Forderung im Hingabezeitpunkt als werthaltig bewertet, wäre ein Teil als verdeckte Einlage zu behandeln und der § 17-Verlust wäre entsprechend höher (gut für Mandantin) oder niedriger.</w:t>
      </w:r>
    </w:p>
    <w:p>
      <w:pPr>
        <w:pStyle w:val="ListBullet"/>
      </w:pPr>
      <w:r>
        <w:rPr>
          <w:b/>
        </w:rPr>
        <w:t>Verlustabzugsbeschränkung § 17 Abs. 2 S. 6 EStG</w:t>
      </w:r>
      <w:r>
        <w:t xml:space="preserve"> bei spät erworbenen Anteilen — hier nicht relevant (Anteile seit Gründung).</w:t>
      </w:r>
    </w:p>
    <w:p>
      <w:pPr>
        <w:pStyle w:val="ListBullet"/>
      </w:pPr>
      <w:r>
        <w:rPr>
          <w:b/>
        </w:rPr>
        <w:t>Mindestbesteuerung</w:t>
      </w:r>
      <w:r>
        <w:t xml:space="preserve"> kann auf Gesellschaftsebene Liquiditätsproblem auslösen: 169.000 EUR Steuer aus 240.000 EUR Cash. </w:t>
      </w:r>
      <w:r>
        <w:rPr>
          <w:b/>
        </w:rPr>
        <w:t>Liquiditätsplan überprüfen</w:t>
      </w:r>
      <w:r>
        <w:t>, ggf. Stundung beantragen.</w:t>
      </w:r>
    </w:p>
    <w:p>
      <w:pPr>
        <w:pStyle w:val="Heading2"/>
      </w:pPr>
      <w:r>
        <w:rPr>
          <w:rFonts w:ascii="Times New Roman" w:hAnsi="Times New Roman"/>
        </w:rPr>
        <w:t>7. Empfehlung</w:t>
      </w:r>
    </w:p>
    <w:p>
      <w:pPr>
        <w:pStyle w:val="ListBullet"/>
      </w:pPr>
      <w:r>
        <w:t xml:space="preserve">Szenario C ist gegenüber Szenario B nicht steuerlich vorteilhafter (Steuerlast auf GmbH-Ebene identisch), bringt aber den Vorteil auf Privatebene, indem der Auflösungsverlust nach § 17 EStG </w:t>
      </w:r>
      <w:r>
        <w:rPr>
          <w:b/>
        </w:rPr>
        <w:t>vor</w:t>
      </w:r>
      <w:r>
        <w:t xml:space="preserve"> der Löschung realisiert wird (mit Wirkung im Verzichtsjahr).</w:t>
      </w:r>
    </w:p>
    <w:p>
      <w:pPr>
        <w:pStyle w:val="ListBullet"/>
      </w:pPr>
      <w:r>
        <w:rPr>
          <w:b/>
        </w:rPr>
        <w:t>Aber</w:t>
      </w:r>
      <w:r>
        <w:t>: Szenario A (Akte 08, Akte 16) ist wirtschaftlich noch besser, weil dort die GmbH-Steuer ausbleibt (Wegfall mangels Subjekt mit Löschung).</w:t>
      </w:r>
    </w:p>
    <w:p>
      <w:pPr>
        <w:pStyle w:val="ListBullet"/>
      </w:pPr>
      <w:r>
        <w:rPr>
          <w:b/>
        </w:rPr>
        <w:t>Empfehlung</w:t>
      </w:r>
      <w:r>
        <w:t>: Szenario A weiter verfolgen. Szenario C nur als Reservevariante, wenn das FA Berlin-Charlottenburg in der verbindlichen Auskunft Szenario A ablehnt.</w:t>
      </w:r>
    </w:p>
    <w:p>
      <w:pPr>
        <w:pStyle w:val="Heading2"/>
      </w:pPr>
      <w:r>
        <w:rPr>
          <w:rFonts w:ascii="Times New Roman" w:hAnsi="Times New Roman"/>
        </w:rPr>
        <w:t>8. Querverweise</w:t>
      </w:r>
    </w:p>
    <w:p>
      <w:pPr>
        <w:pStyle w:val="ListBullet"/>
      </w:pPr>
      <w:r>
        <w:t>Akte 05: Rangruecktrittsvereinbarung (Verzichtspruefung).</w:t>
      </w:r>
    </w:p>
    <w:p>
      <w:pPr>
        <w:pStyle w:val="ListBullet"/>
      </w:pPr>
      <w:r>
        <w:t>Akte 08: Szenario A.</w:t>
      </w:r>
    </w:p>
    <w:p>
      <w:pPr>
        <w:pStyle w:val="ListBullet"/>
      </w:pPr>
      <w:r>
        <w:t>Akte 09: Szenario B.</w:t>
      </w:r>
    </w:p>
    <w:p>
      <w:pPr>
        <w:pStyle w:val="ListBullet"/>
      </w:pPr>
      <w:r>
        <w:t>Akte 11: § 3a EStG.</w:t>
      </w:r>
    </w:p>
    <w:p>
      <w:pPr>
        <w:pStyle w:val="ListBullet"/>
      </w:pPr>
      <w:r>
        <w:t>Akte 14: § 17 Abs. 4 EStG / nachtragliche AK.</w:t>
      </w:r>
    </w:p>
    <w:p>
      <w:pPr>
        <w:pStyle w:val="ListBullet"/>
      </w:pPr>
      <w:r>
        <w:t>Akte 18: CSV-Szenarienrechnung.</w:t>
      </w:r>
    </w:p>
    <w:p>
      <w:pPr>
        <w:pStyle w:val="Heading2"/>
      </w:pPr>
      <w:r>
        <w:rPr>
          <w:rFonts w:ascii="Times New Roman" w:hAnsi="Times New Roman"/>
        </w:rPr>
        <w:t>9. Quellenverzeichnis</w:t>
      </w:r>
    </w:p>
    <w:p>
      <w:pPr>
        <w:pStyle w:val="Heading3"/>
      </w:pPr>
      <w:r>
        <w:rPr>
          <w:rFonts w:ascii="Times New Roman" w:hAnsi="Times New Roman"/>
        </w:rPr>
        <w:t>Normen</w:t>
      </w:r>
    </w:p>
    <w:p>
      <w:pPr>
        <w:pStyle w:val="ListBullet"/>
      </w:pPr>
      <w:r>
        <w:t>§ 397 BGB.</w:t>
      </w:r>
    </w:p>
    <w:p>
      <w:pPr>
        <w:pStyle w:val="ListBullet"/>
      </w:pPr>
      <w:r>
        <w:t>§ 17 EStG, § 17 Abs. 2a EStG (Reform 2019), § 17 Abs. 4 EStG.</w:t>
      </w:r>
    </w:p>
    <w:p>
      <w:pPr>
        <w:pStyle w:val="ListBullet"/>
      </w:pPr>
      <w:r>
        <w:t>§ 3 Nr. 40c EStG; § 3c Abs. 2 EStG (Teileinkuenfteverfahren).</w:t>
      </w:r>
    </w:p>
    <w:p>
      <w:pPr>
        <w:pStyle w:val="ListBullet"/>
      </w:pPr>
      <w:r>
        <w:t>§ 8 Abs. 3 KStG (verdeckte Einlage).</w:t>
      </w:r>
    </w:p>
    <w:p>
      <w:pPr>
        <w:pStyle w:val="ListBullet"/>
      </w:pPr>
      <w:r>
        <w:t>§ 5 Abs. 2a EStG (Abgrenzung).</w:t>
      </w:r>
    </w:p>
    <w:p>
      <w:pPr>
        <w:pStyle w:val="ListBullet"/>
      </w:pPr>
      <w:r>
        <w:t>§ 6 Abs. 1 Nr. 3 EStG i.V.m. § 12 Abs. 1 BewG.</w:t>
      </w:r>
    </w:p>
    <w:p>
      <w:pPr>
        <w:pStyle w:val="ListBullet"/>
      </w:pPr>
      <w:r>
        <w:t>§ 11 KStG.</w:t>
      </w:r>
    </w:p>
    <w:p>
      <w:pPr>
        <w:pStyle w:val="ListBullet"/>
      </w:pPr>
      <w:r>
        <w:t>§ 7b GewStG.</w:t>
      </w:r>
    </w:p>
    <w:p>
      <w:pPr>
        <w:pStyle w:val="Heading3"/>
      </w:pPr>
      <w:r>
        <w:rPr>
          <w:rFonts w:ascii="Times New Roman" w:hAnsi="Times New Roman"/>
        </w:rPr>
        <w:t>Rechtsprechung (verifiziert)</w:t>
      </w:r>
    </w:p>
    <w:p>
      <w:pPr>
        <w:pStyle w:val="ListBullet"/>
      </w:pPr>
      <w:r>
        <w:rPr>
          <w:b/>
        </w:rPr>
        <w:t>BFH, Urt. v. 11.07.2017 — IX R 36/15, BStBl. II 2019, 208</w:t>
      </w:r>
      <w:r>
        <w:t xml:space="preserve"> (Änderung der Eigenkapitalersatzregeln § 17 EStG; vor Anwendung auf Mandantenfall verifizieren).</w:t>
      </w:r>
    </w:p>
    <w:p>
      <w:pPr>
        <w:pStyle w:val="ListBullet"/>
      </w:pPr>
      <w:r>
        <w:rPr>
          <w:b/>
        </w:rPr>
        <w:t>BFH, Urt. v. 19.08.2020 — XI R 32/18, BStBl. II 2021, 279</w:t>
      </w:r>
      <w:r>
        <w:t xml:space="preserve"> — § 5 Abs. 2a EStG bei Rangrücktritt (Abgrenzung zu Szenario C: Verzicht statt Rangrücktritt).</w:t>
      </w:r>
    </w:p>
    <w:p>
      <w:pPr>
        <w:pStyle w:val="ListBullet"/>
      </w:pPr>
      <w:r>
        <w:rPr>
          <w:b/>
        </w:rPr>
        <w:t>BFH, Urt. v. 30.11.2011 — I R 100/10, DStR 2012, 450</w:t>
      </w:r>
      <w:r>
        <w:t xml:space="preserve"> — Voraussetzungen Passivierung.</w:t>
      </w:r>
    </w:p>
    <w:p>
      <w:pPr>
        <w:pStyle w:val="ListBullet"/>
      </w:pPr>
      <w:r>
        <w:rPr>
          <w:b/>
        </w:rPr>
        <w:t>BFH, Urt. v. 16.05.2015 — IX R 28/14, BFH/NV 2015, 1679</w:t>
      </w:r>
      <w:r>
        <w:t xml:space="preserve"> — umgekehrter Fall (Forderung Gesellschaft gegen Gesellschafter).</w:t>
      </w:r>
    </w:p>
    <w:p>
      <w:pPr>
        <w:pStyle w:val="ListBullet"/>
      </w:pPr>
      <w:r>
        <w:rPr>
          <w:b/>
        </w:rPr>
        <w:t>FG Koeln, Urt. v. 06.03.2012 — 13 K 3006/11, GmbHR 2012, 977</w:t>
      </w:r>
      <w:r>
        <w:t xml:space="preserve"> (vorgehend zu BFH I R 34/12) — Os. 7 (gilt für Szenario A, nicht für C, da hier ausdrücklicher Verzicht).</w:t>
      </w:r>
    </w:p>
    <w:p>
      <w:pPr>
        <w:pStyle w:val="ListBullet"/>
      </w:pPr>
      <w:r>
        <w:rPr>
          <w:b/>
        </w:rPr>
        <w:t>BFH, Beschl. v. 05.02.2014 — I R 34/12, BFH/NV 2014, 1014</w:t>
      </w:r>
      <w:r>
        <w:t xml:space="preserve"> — Ls. 3.</w:t>
      </w:r>
    </w:p>
    <w:p>
      <w:pPr>
        <w:pStyle w:val="ListBullet"/>
      </w:pPr>
      <w:r>
        <w:rPr>
          <w:b/>
        </w:rPr>
        <w:t>FG Düsseldorf, Urt. v. 18.09.2018 — 6 K 454/15 K, DStRE 2019</w:t>
      </w:r>
      <w:r>
        <w:t xml:space="preserve"> — Mindestbesteuerung Definitiveffekt.</w:t>
      </w:r>
    </w:p>
    <w:p>
      <w:pPr>
        <w:pStyle w:val="Heading3"/>
      </w:pPr>
      <w:r>
        <w:rPr>
          <w:rFonts w:ascii="Times New Roman" w:hAnsi="Times New Roman"/>
        </w:rPr>
        <w:t>Verwaltungsauffassung</w:t>
      </w:r>
    </w:p>
    <w:p>
      <w:pPr>
        <w:pStyle w:val="ListBullet"/>
      </w:pPr>
      <w:r>
        <w:rPr>
          <w:b/>
        </w:rPr>
        <w:t>OFD Frankfurt a. M., Rundverfügung v. 26.07.2021 — S 2743 A-12-St 523, Originalquelle oder frei pruefbare Quelle vor Ausgabe pruefen</w:t>
      </w:r>
      <w:r>
        <w:t xml:space="preserve"> — Verzicht muss ausdrücklich erklärt sein (anders als bei reiner Liquidation).</w:t>
      </w:r>
    </w:p>
    <w:p>
      <w:pPr>
        <w:pStyle w:val="ListBullet"/>
      </w:pPr>
      <w:r>
        <w:rPr>
          <w:b/>
        </w:rPr>
        <w:t>OFD Frankfurt a. M., Rundverfügung v. 03.08.2018 — S 2743 A-12-St 525, DStR 2019, 560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Literatur</w:t>
      </w:r>
    </w:p>
    <w:p>
      <w:pPr>
        <w:pStyle w:val="ListBullet"/>
      </w:pPr>
      <w:r>
        <w:t>H.-F. Mueller, in: Münchener Kommentar GmbHG, 3. Aufl. 2018, § 74 Rz. 34 — zur zivilrechtlichen Wirkung von Verzicht und Liquidation.</w:t>
      </w:r>
    </w:p>
    <w:p>
      <w:pPr>
        <w:pStyle w:val="ListBullet"/>
      </w:pPr>
      <w:r>
        <w:t>Haas, in: Noack/Servatius/Haas, GmbHG, 23. Aufl. 2022, § 71 Rz. 28.</w:t>
      </w:r>
    </w:p>
    <w:p>
      <w:pPr>
        <w:pStyle w:val="ListBullet"/>
      </w:pPr>
      <w:r>
        <w:t>Bergmann, Diss. 2012, S. 145 ff.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Strassburger Handelshof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Strassburger Handelshof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HRB 188742 B AG Charlottenburg · Aktenzeichen Kanzlei: PE-2026-LIQ-0188 / Szena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