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3a EStG — Pruefung der Anwendungsvoraussetzungen bei solventer Liquidation</w:t>
      </w:r>
    </w:p>
    <w:p>
      <w:pPr>
        <w:jc w:val="left"/>
      </w:pPr>
      <w:r>
        <w:rPr>
          <w:b/>
        </w:rPr>
        <w:t>Verfasserin:</w:t>
      </w:r>
      <w:r>
        <w:t xml:space="preserve"> StB/RAin Dr. Cordula Pinneberg-Talheim</w:t>
      </w:r>
    </w:p>
    <w:p>
      <w:pPr>
        <w:jc w:val="left"/>
      </w:pPr>
      <w:r>
        <w:rPr>
          <w:b/>
        </w:rPr>
        <w:t>Datum:</w:t>
      </w:r>
      <w:r>
        <w:t xml:space="preserve"> 28.05.2026</w:t>
      </w:r>
    </w:p>
    <w:p>
      <w:pPr>
        <w:jc w:val="left"/>
      </w:pPr>
      <w:r>
        <w:rPr>
          <w:b/>
        </w:rPr>
        <w:t>Mandantin:</w:t>
      </w:r>
      <w:r>
        <w:t xml:space="preserve"> Strassburger Handelshof GmbH i.L., HRB 188742 B AG Charlottenburg</w:t>
      </w:r>
    </w:p>
    <w:p>
      <w:pPr>
        <w:jc w:val="left"/>
      </w:pPr>
      <w:r>
        <w:rPr>
          <w:b/>
        </w:rPr>
        <w:t>Aktenzeichen Kanzlei:</w:t>
      </w:r>
      <w:r>
        <w:t xml:space="preserve"> PE-2026-LIQ-0188 / Memo 11</w:t>
      </w:r>
    </w:p>
    <w:p>
      <w:pPr>
        <w:jc w:val="left"/>
      </w:pPr>
      <w:r>
        <w:rPr>
          <w:b/>
        </w:rPr>
        <w:t>Stil:</w:t>
      </w:r>
      <w:r>
        <w:t xml:space="preserve"> Gutachtenstil</w:t>
      </w:r>
    </w:p>
    <w:p/>
    <w:p>
      <w:pPr>
        <w:pStyle w:val="Heading2"/>
      </w:pPr>
      <w:r>
        <w:rPr>
          <w:rFonts w:ascii="Times New Roman" w:hAnsi="Times New Roman"/>
        </w:rPr>
        <w:t>1. Frage</w:t>
      </w:r>
    </w:p>
    <w:p>
      <w:pPr>
        <w:jc w:val="left"/>
      </w:pPr>
      <w:r>
        <w:t>Greift § 3a EStG (Steuerfreiheit des Sanierungsertrags) zu Gunsten der Strassburger Handelshof GmbH i.L., wenn aufgrund der Liquidation und Behandlung des nachrangigen Gesellschafterdarlehens ein Sanierungsertrag in Höhe von 2,4 Mio. EUR entstehen sollte (Szenarien B und C)?</w:t>
      </w:r>
    </w:p>
    <w:p>
      <w:pPr>
        <w:pStyle w:val="Heading2"/>
      </w:pPr>
      <w:r>
        <w:rPr>
          <w:rFonts w:ascii="Times New Roman" w:hAnsi="Times New Roman"/>
        </w:rPr>
        <w:t>2. Kurzantwort</w:t>
      </w:r>
    </w:p>
    <w:p>
      <w:pPr>
        <w:jc w:val="left"/>
      </w:pPr>
      <w:r>
        <w:rPr>
          <w:b/>
        </w:rPr>
        <w:t>Nein.</w:t>
      </w:r>
      <w:r>
        <w:t xml:space="preserve"> § 3a EStG greift nicht. Die Voraussetzung </w:t>
      </w:r>
      <w:r>
        <w:rPr>
          <w:b/>
        </w:rPr>
        <w:t>Sanierungseignung</w:t>
      </w:r>
      <w:r>
        <w:t xml:space="preserve"> (§ 3a Abs. 2 EStG) ist im Mandatsfall </w:t>
      </w:r>
      <w:r>
        <w:rPr>
          <w:b/>
        </w:rPr>
        <w:t>nicht erfüllt</w:t>
      </w:r>
      <w:r>
        <w:t>. Eine reine Liquidation ist denklogisch nicht geeignet, das Unternehmen zu erhalten oder seine wirtschaftliche Leistungsfähigkeit wiederherzustellen — sie ist deren Gegenteil. Ohne Sanierungseignung ist § 3a EStG nicht anwendbar; der Sanierungsertrag wäre voll steuerpflichtig.</w:t>
      </w:r>
    </w:p>
    <w:p>
      <w:pPr>
        <w:pStyle w:val="Heading2"/>
      </w:pPr>
      <w:r>
        <w:rPr>
          <w:rFonts w:ascii="Times New Roman" w:hAnsi="Times New Roman"/>
        </w:rPr>
        <w:t>3. Rechtliche Bewertung (Gutachtenstil)</w:t>
      </w:r>
    </w:p>
    <w:p>
      <w:pPr>
        <w:pStyle w:val="Heading3"/>
      </w:pPr>
      <w:r>
        <w:rPr>
          <w:rFonts w:ascii="Times New Roman" w:hAnsi="Times New Roman"/>
        </w:rPr>
        <w:t>3.1 Wortlaut § 3a Abs. 1 EStG</w:t>
      </w:r>
    </w:p>
    <w:p>
      <w:pPr>
        <w:ind w:left="567"/>
      </w:pPr>
      <w:r>
        <w:rPr>
          <w:i/>
        </w:rPr>
        <w:t>"Betriebsvermögensmehrungen oder Betriebseinnahmen aus einem Schuldenerlass zum Zwecke einer unternehmensbezogenen Sanierung (Sanierungsertrag) sind steuerfrei."</w:t>
      </w:r>
    </w:p>
    <w:p>
      <w:pPr>
        <w:jc w:val="left"/>
      </w:pPr>
      <w:r>
        <w:t xml:space="preserve">Die Steuerbefreiung knüpft an einen </w:t>
      </w:r>
      <w:r>
        <w:rPr>
          <w:b/>
        </w:rPr>
        <w:t>Sanierungsertrag</w:t>
      </w:r>
      <w:r>
        <w:t xml:space="preserve"> an. Definitorisch: Mehrung aus einem Schuldenerlass, der eine </w:t>
      </w:r>
      <w:r>
        <w:rPr>
          <w:b/>
        </w:rPr>
        <w:t>unternehmensbezogene Sanierung</w:t>
      </w:r>
      <w:r>
        <w:t xml:space="preserve"> bezweckt.</w:t>
      </w:r>
    </w:p>
    <w:p>
      <w:pPr>
        <w:pStyle w:val="Heading3"/>
      </w:pPr>
      <w:r>
        <w:rPr>
          <w:rFonts w:ascii="Times New Roman" w:hAnsi="Times New Roman"/>
        </w:rPr>
        <w:t>3.2 Wortlaut § 3a Abs. 2 EStG — Sanierungsbegünstigung im engeren Sinne</w:t>
      </w:r>
    </w:p>
    <w:p>
      <w:pPr>
        <w:ind w:left="567"/>
      </w:pPr>
      <w:r>
        <w:rPr>
          <w:i/>
        </w:rPr>
        <w:t xml:space="preserve">"Eine unternehmensbezogene Sanierung liegt vor, wenn der Steuerpflichtige für den Zeitpunkt des Schuldenerlasses die </w:t>
      </w:r>
      <w:r>
        <w:rPr>
          <w:b/>
          <w:i/>
        </w:rPr>
        <w:t>Sanierungsbedürftigkeit</w:t>
      </w:r>
      <w:r>
        <w:rPr>
          <w:i/>
        </w:rPr>
        <w:t xml:space="preserve"> und die </w:t>
      </w:r>
      <w:r>
        <w:rPr>
          <w:b/>
          <w:i/>
        </w:rPr>
        <w:t>Sanierungsfähigkeit</w:t>
      </w:r>
      <w:r>
        <w:rPr>
          <w:i/>
        </w:rPr>
        <w:t xml:space="preserve"> des Unternehmens, die </w:t>
      </w:r>
      <w:r>
        <w:rPr>
          <w:b/>
          <w:i/>
        </w:rPr>
        <w:t>Sanierungseignung</w:t>
      </w:r>
      <w:r>
        <w:rPr>
          <w:i/>
        </w:rPr>
        <w:t xml:space="preserve"> des betrieblichen Schuldenerlasses und die </w:t>
      </w:r>
      <w:r>
        <w:rPr>
          <w:b/>
          <w:i/>
        </w:rPr>
        <w:t>Sanierungsabsicht</w:t>
      </w:r>
      <w:r>
        <w:rPr>
          <w:i/>
        </w:rPr>
        <w:t xml:space="preserve"> der Gläubiger nachweist."</w:t>
      </w:r>
    </w:p>
    <w:p>
      <w:pPr>
        <w:jc w:val="left"/>
      </w:pPr>
      <w:r>
        <w:t>Vier kumulative Voraussetzungen:</w:t>
      </w:r>
    </w:p>
    <w:p>
      <w:pPr>
        <w:pStyle w:val="ListNumber"/>
      </w:pPr>
      <w:r>
        <w:rPr>
          <w:b/>
        </w:rPr>
        <w:t>Sanierungsbedürftigkeit</w:t>
      </w:r>
      <w:r>
        <w:t xml:space="preserve"> des Unternehmens.</w:t>
      </w:r>
    </w:p>
    <w:p>
      <w:pPr>
        <w:pStyle w:val="ListNumber"/>
      </w:pPr>
      <w:r>
        <w:rPr>
          <w:b/>
        </w:rPr>
        <w:t>Sanierungsfähigkeit</w:t>
      </w:r>
      <w:r>
        <w:t xml:space="preserve"> des Unternehmens.</w:t>
      </w:r>
    </w:p>
    <w:p>
      <w:pPr>
        <w:pStyle w:val="ListNumber"/>
      </w:pPr>
      <w:r>
        <w:rPr>
          <w:b/>
        </w:rPr>
        <w:t>Sanierungseignung</w:t>
      </w:r>
      <w:r>
        <w:t xml:space="preserve"> des Schuldenerlasses.</w:t>
      </w:r>
    </w:p>
    <w:p>
      <w:pPr>
        <w:pStyle w:val="ListNumber"/>
      </w:pPr>
      <w:r>
        <w:rPr>
          <w:b/>
        </w:rPr>
        <w:t>Sanierungsabsicht</w:t>
      </w:r>
      <w:r>
        <w:t xml:space="preserve"> der Gläubiger.</w:t>
      </w:r>
    </w:p>
    <w:p>
      <w:pPr>
        <w:pStyle w:val="Heading3"/>
      </w:pPr>
      <w:r>
        <w:rPr>
          <w:rFonts w:ascii="Times New Roman" w:hAnsi="Times New Roman"/>
        </w:rPr>
        <w:t>3.3 Pruefung der vier Voraussetzungen</w:t>
      </w:r>
    </w:p>
    <w:p>
      <w:pPr>
        <w:pStyle w:val="Heading3"/>
      </w:pPr>
      <w:r>
        <w:rPr>
          <w:rFonts w:ascii="Times New Roman" w:hAnsi="Times New Roman"/>
        </w:rPr>
        <w:t>3.3.1 Sanierungsbedürftigkeit</w:t>
      </w:r>
    </w:p>
    <w:p>
      <w:pPr>
        <w:jc w:val="left"/>
      </w:pPr>
      <w:r>
        <w:t xml:space="preserve">Die Strassburger Handelshof GmbH ist wirtschaftlich tot. Geschäftsmodell zusammengebrochen, Lager abverkauft. Bilanziell überschuldet (auch wenn nicht im Sinne § 19 InsO). </w:t>
      </w:r>
      <w:r>
        <w:rPr>
          <w:b/>
        </w:rPr>
        <w:t>Sanierungsbedürftigkeit ist gegeben.</w:t>
      </w:r>
    </w:p>
    <w:p>
      <w:pPr>
        <w:pStyle w:val="Heading3"/>
      </w:pPr>
      <w:r>
        <w:rPr>
          <w:rFonts w:ascii="Times New Roman" w:hAnsi="Times New Roman"/>
        </w:rPr>
        <w:t>3.3.2 Sanierungsfähigkeit</w:t>
      </w:r>
    </w:p>
    <w:p>
      <w:pPr>
        <w:jc w:val="left"/>
      </w:pPr>
      <w:r>
        <w:t xml:space="preserve">Sanierungsfähigkeit bedeutet: das Unternehmen könnte bei geeigneten Massnahmen </w:t>
      </w:r>
      <w:r>
        <w:rPr>
          <w:i/>
        </w:rPr>
        <w:t>wirtschaftlich gesunden</w:t>
      </w:r>
      <w:r>
        <w:t xml:space="preserve"> und am Markt fortgeführt werden.</w:t>
      </w:r>
    </w:p>
    <w:p>
      <w:pPr>
        <w:jc w:val="left"/>
      </w:pPr>
      <w:r>
        <w:t xml:space="preserve">Hier liegt der Kern des Problems: Die Mandantin und ihr Beraterkreis haben übereinstimmend festgestellt, dass das Geschäftsmodell des B2B-Modegrosshandels in der bisherigen Form </w:t>
      </w:r>
      <w:r>
        <w:rPr>
          <w:b/>
        </w:rPr>
        <w:t>endgültig nicht mehr tragfähig</w:t>
      </w:r>
      <w:r>
        <w:t xml:space="preserve"> ist. Die Kundenstruktur (inhabergefuehrte Boutiquen) ist um mehr als 50 % geschrumpft; die verbleibenden Kunden wandern in andere Vertriebskanäle ab. Eine wirtschaftliche Erholung ist nicht in Sicht; Sanierungsmassnahmen (Umfirmierung, Online-Pivot, Personalabbau) wurden geprüft und verworfen.</w:t>
      </w:r>
    </w:p>
    <w:p>
      <w:pPr>
        <w:jc w:val="left"/>
      </w:pPr>
      <w:r>
        <w:rPr>
          <w:b/>
        </w:rPr>
        <w:t>Sanierungsfähigkeit ist nicht gegeben.</w:t>
      </w:r>
      <w:r>
        <w:t xml:space="preserve"> Im Gegenteil: Die Auflösung erfolgt gerade deshalb, weil die GmbH </w:t>
      </w:r>
      <w:r>
        <w:rPr>
          <w:b/>
        </w:rPr>
        <w:t>nicht</w:t>
      </w:r>
      <w:r>
        <w:t xml:space="preserve"> sanierbar ist.</w:t>
      </w:r>
    </w:p>
    <w:p>
      <w:pPr>
        <w:pStyle w:val="Heading3"/>
      </w:pPr>
      <w:r>
        <w:rPr>
          <w:rFonts w:ascii="Times New Roman" w:hAnsi="Times New Roman"/>
        </w:rPr>
        <w:t>3.3.3 Sanierungseignung — der zentrale Prüfstein</w:t>
      </w:r>
    </w:p>
    <w:p>
      <w:pPr>
        <w:jc w:val="left"/>
      </w:pPr>
      <w:r>
        <w:t xml:space="preserve">Sanierungseignung verlangt: Der Schuldenerlass muss </w:t>
      </w:r>
      <w:r>
        <w:rPr>
          <w:b/>
        </w:rPr>
        <w:t>geeignet</w:t>
      </w:r>
      <w:r>
        <w:t xml:space="preserve"> sein, das Unternehmen zu sanieren. Das heisst, der Erlass muss zur Wiederherstellung der wirtschaftlichen Funktionsfähigkeit beitragen.</w:t>
      </w:r>
    </w:p>
    <w:p>
      <w:pPr>
        <w:jc w:val="left"/>
      </w:pPr>
      <w:r>
        <w:t xml:space="preserve">Im Mandatsfall ist das </w:t>
      </w:r>
      <w:r>
        <w:rPr>
          <w:b/>
        </w:rPr>
        <w:t>denklogisch ausgeschlossen</w:t>
      </w:r>
      <w:r>
        <w:t xml:space="preserve">: Das Unternehmen wird liquidiert. Ein "Erlass" der Verbindlichkeit hat </w:t>
      </w:r>
      <w:r>
        <w:rPr>
          <w:b/>
        </w:rPr>
        <w:t>keinen Sanierungszweck</w:t>
      </w:r>
      <w:r>
        <w:t xml:space="preserve">, sondern dient — wenn überhaupt — der bilanziellen Bereinigung in der Liquidationsphase. Die Liquidation ist nicht </w:t>
      </w:r>
      <w:r>
        <w:rPr>
          <w:b/>
        </w:rPr>
        <w:t>Mittel zur Sanierung</w:t>
      </w:r>
      <w:r>
        <w:t xml:space="preserve">, sondern </w:t>
      </w:r>
      <w:r>
        <w:rPr>
          <w:b/>
        </w:rPr>
        <w:t>Ergebnis der Aufgabe</w:t>
      </w:r>
      <w:r>
        <w:t xml:space="preserve"> der Sanierungsbestrebungen.</w:t>
      </w:r>
    </w:p>
    <w:p>
      <w:pPr>
        <w:jc w:val="left"/>
      </w:pPr>
      <w:r>
        <w:rPr>
          <w:b/>
        </w:rPr>
        <w:t>Sanierungseignung ist nicht gegeben.</w:t>
      </w:r>
      <w:r>
        <w:t xml:space="preserve"> Damit fällt der gesamte § 3a EStG-Tatbestand.</w:t>
      </w:r>
    </w:p>
    <w:p>
      <w:pPr>
        <w:pStyle w:val="Heading3"/>
      </w:pPr>
      <w:r>
        <w:rPr>
          <w:rFonts w:ascii="Times New Roman" w:hAnsi="Times New Roman"/>
        </w:rPr>
        <w:t>3.3.4 Sanierungsabsicht der Gläubiger</w:t>
      </w:r>
    </w:p>
    <w:p>
      <w:pPr>
        <w:jc w:val="left"/>
      </w:pPr>
      <w:r>
        <w:t xml:space="preserve">Die Sanierungsabsicht der Gläubiger ist im Mandatsfall ebenfalls fraglich. Frau Strassburger-Wittenburg als einzige potentielle Schuldnerin eines Erlasses verfolgt mit ihrem Verzicht </w:t>
      </w:r>
      <w:r>
        <w:rPr>
          <w:i/>
        </w:rPr>
        <w:t>gerade nicht</w:t>
      </w:r>
      <w:r>
        <w:t xml:space="preserve"> die Sanierung des Unternehmens — sie verzichtet allenfalls aus bilanziellen Gründen oder zur Vermeidung weiterer Vermögensreduktion. Eine "Sanierungsabsicht" im engeren Sinne ist nicht zu erkennen.</w:t>
      </w:r>
    </w:p>
    <w:p>
      <w:pPr>
        <w:pStyle w:val="Heading3"/>
      </w:pPr>
      <w:r>
        <w:rPr>
          <w:rFonts w:ascii="Times New Roman" w:hAnsi="Times New Roman"/>
        </w:rPr>
        <w:t>3.4 Zwischenergebnis</w:t>
      </w:r>
    </w:p>
    <w:p>
      <w:pPr>
        <w:jc w:val="left"/>
      </w:pPr>
      <w:r>
        <w:t xml:space="preserve">Bei kumulativ vier Voraussetzungen reicht das Fehlen einer einzigen aus, um § 3a EStG zu Fall zu bringen. Hier fehlen </w:t>
      </w:r>
      <w:r>
        <w:rPr>
          <w:b/>
        </w:rPr>
        <w:t>Sanierungsfähigkeit</w:t>
      </w:r>
      <w:r>
        <w:t xml:space="preserve">, </w:t>
      </w:r>
      <w:r>
        <w:rPr>
          <w:b/>
        </w:rPr>
        <w:t>Sanierungseignung</w:t>
      </w:r>
      <w:r>
        <w:t xml:space="preserve"> und (mit hoher Wahrscheinlichkeit) </w:t>
      </w:r>
      <w:r>
        <w:rPr>
          <w:b/>
        </w:rPr>
        <w:t>Sanierungsabsicht</w:t>
      </w:r>
      <w:r>
        <w:t>. Die Norm greift nicht.</w:t>
      </w:r>
    </w:p>
    <w:p>
      <w:pPr>
        <w:pStyle w:val="Heading3"/>
      </w:pPr>
      <w:r>
        <w:rPr>
          <w:rFonts w:ascii="Times New Roman" w:hAnsi="Times New Roman"/>
        </w:rPr>
        <w:t>3.5 Folge für Szenarien B und C</w:t>
      </w:r>
    </w:p>
    <w:p>
      <w:pPr>
        <w:jc w:val="left"/>
      </w:pPr>
      <w:r>
        <w:t>In den Szenarien B und C entsteht ein steuerpflichtiger Ertrag von 2,4 Mio. EUR; § 3a EStG ist nicht anwendbar. Es kommt daher auf die Verrechnung mit Verlustvorträgen unter Beachtung der Mindestbesteuerung an (Akte 12; Berechnung in Akte 09).</w:t>
      </w:r>
    </w:p>
    <w:p>
      <w:pPr>
        <w:pStyle w:val="Heading3"/>
      </w:pPr>
      <w:r>
        <w:rPr>
          <w:rFonts w:ascii="Times New Roman" w:hAnsi="Times New Roman"/>
        </w:rPr>
        <w:t>3.6 Folge für Szenario A</w:t>
      </w:r>
    </w:p>
    <w:p>
      <w:pPr>
        <w:jc w:val="left"/>
      </w:pPr>
      <w:r>
        <w:t xml:space="preserve">In Szenario A entsteht zwar rechtstheoretisch ein Gewinn, aber </w:t>
      </w:r>
      <w:r>
        <w:rPr>
          <w:b/>
        </w:rPr>
        <w:t>erst mit Löschung der GmbH</w:t>
      </w:r>
      <w:r>
        <w:t xml:space="preserve">. Das Steuersubjekt erlischt zugleich (FG Koeln 13 K 3006/11, GmbHR 2012, 977; siehe Akte 08 und 16). Eine Steuerbefreiung nach § 3a EStG ist dann </w:t>
      </w:r>
      <w:r>
        <w:rPr>
          <w:b/>
        </w:rPr>
        <w:t>gar nicht mehr erforderlich</w:t>
      </w:r>
      <w:r>
        <w:t xml:space="preserve">. Szenario A bleibt damit die </w:t>
      </w:r>
      <w:r>
        <w:rPr>
          <w:b/>
        </w:rPr>
        <w:t>steueroptimale Variante</w:t>
      </w:r>
      <w:r>
        <w:t>.</w:t>
      </w:r>
    </w:p>
    <w:p>
      <w:pPr>
        <w:pStyle w:val="Heading3"/>
      </w:pPr>
      <w:r>
        <w:rPr>
          <w:rFonts w:ascii="Times New Roman" w:hAnsi="Times New Roman"/>
        </w:rPr>
        <w:t>3.7 Parallel-Pruefung Gewerbesteuer (§ 7b GewStG)</w:t>
      </w:r>
    </w:p>
    <w:p>
      <w:pPr>
        <w:jc w:val="left"/>
      </w:pPr>
      <w:r>
        <w:t>§ 7b GewStG enthält die Parallelvorschrift zu § 3a EStG für die Gewerbesteuer:</w:t>
      </w:r>
    </w:p>
    <w:p>
      <w:pPr>
        <w:ind w:left="567"/>
      </w:pPr>
      <w:r>
        <w:rPr>
          <w:i/>
        </w:rPr>
        <w:t>"Auf die Sanierungserträge im Sinne des § 3a Abs. 1 EStG findet § 3a EStG entsprechend Anwendung."</w:t>
      </w:r>
    </w:p>
    <w:p>
      <w:pPr>
        <w:jc w:val="left"/>
      </w:pPr>
      <w:r>
        <w:t>Folge: Auch gewerbesteuerlich greift die Befreiung nicht, weil die Voraussetzungen des § 3a EStG nicht erfüllt sind. § 36 Abs. 2c GewStG (Verrechnungsreihenfolge) folgt im Gleichlauf.</w:t>
      </w:r>
    </w:p>
    <w:p>
      <w:pPr>
        <w:pStyle w:val="Heading2"/>
      </w:pPr>
      <w:r>
        <w:rPr>
          <w:rFonts w:ascii="Times New Roman" w:hAnsi="Times New Roman"/>
        </w:rPr>
        <w:t>4. Gesamtergebnis</w:t>
      </w:r>
    </w:p>
    <w:p>
      <w:pPr>
        <w:jc w:val="left"/>
      </w:pPr>
      <w:r>
        <w:t xml:space="preserve">§ 3a EStG ist im Mandatsfall </w:t>
      </w:r>
      <w:r>
        <w:rPr>
          <w:b/>
        </w:rPr>
        <w:t>nicht</w:t>
      </w:r>
      <w:r>
        <w:t xml:space="preserve"> einschlägig — weder für die KSt noch für die GewSt. Der Sanierungsertrag wäre voll steuerpflichtig (Szenarien B und C). Steuerlich vorteilhaft bleibt allein Szenario A, in dem der Ertrag mit Löschung der GmbH zugleich das Steuersubjekt erlöschen lässt.</w:t>
      </w:r>
    </w:p>
    <w:p>
      <w:pPr>
        <w:pStyle w:val="Heading2"/>
      </w:pPr>
      <w:r>
        <w:rPr>
          <w:rFonts w:ascii="Times New Roman" w:hAnsi="Times New Roman"/>
        </w:rPr>
        <w:t>5. Risiken / offene Punkte</w:t>
      </w:r>
    </w:p>
    <w:p>
      <w:pPr>
        <w:pStyle w:val="ListBullet"/>
      </w:pPr>
      <w:r>
        <w:rPr>
          <w:b/>
        </w:rPr>
        <w:t>Auslegung "Sanierungseignung" bei Teil-Sanierungen</w:t>
      </w:r>
      <w:r>
        <w:t xml:space="preserve">: Theoretisch könnte argumentiert werden, dass auch eine geordnete Liquidation eine "Sanierung" im weiteren Sinne darstellt (Schutz der Gläubiger, geordnete Abwicklung, Vermeidung Insolvenz). Diese weite Auslegung wäre aber gegen den Wortlaut "unternehmensbezogene Sanierung" — eine Liquidation will gerade </w:t>
      </w:r>
      <w:r>
        <w:rPr>
          <w:b/>
        </w:rPr>
        <w:t>nicht</w:t>
      </w:r>
      <w:r>
        <w:t xml:space="preserve"> das Unternehmen erhalten. Eine solche Auslegung ist abzulehnen.</w:t>
      </w:r>
    </w:p>
    <w:p>
      <w:pPr>
        <w:pStyle w:val="ListBullet"/>
      </w:pPr>
      <w:r>
        <w:rPr>
          <w:b/>
        </w:rPr>
        <w:t>Hilfsweise § 3a Abs. 5 EStG</w:t>
      </w:r>
      <w:r>
        <w:t>: Beachten, dass auch ein Antrag nach § 3a Abs. 5 EStG (Auf Antrag bei sonst nicht erfüllten Voraussetzungen) hier nicht trägt, weil dort ebenfalls auf die Sanierung abgestellt wird.</w:t>
      </w:r>
    </w:p>
    <w:p>
      <w:pPr>
        <w:pStyle w:val="ListBullet"/>
      </w:pPr>
      <w:r>
        <w:rPr>
          <w:b/>
        </w:rPr>
        <w:t>Beraterhaftung</w:t>
      </w:r>
      <w:r>
        <w:t>: Die Mandantin ist klar darauf hinzuweisen, dass § 3a EStG keine "Rettung" der Steuerlast in den Szenarien B/C bringt. Die einzige steueroptimale Variante ist Szenario A — und diese steht und fällt mit der Behandlung des § 5 Abs. 2a EStG (Akte 06).</w:t>
      </w:r>
    </w:p>
    <w:p>
      <w:pPr>
        <w:pStyle w:val="Heading2"/>
      </w:pPr>
      <w:r>
        <w:rPr>
          <w:rFonts w:ascii="Times New Roman" w:hAnsi="Times New Roman"/>
        </w:rPr>
        <w:t>6. Querverweise</w:t>
      </w:r>
    </w:p>
    <w:p>
      <w:pPr>
        <w:pStyle w:val="ListBullet"/>
      </w:pPr>
      <w:r>
        <w:t>Akte 06: § 5 Abs. 2a EStG.</w:t>
      </w:r>
    </w:p>
    <w:p>
      <w:pPr>
        <w:pStyle w:val="ListBullet"/>
      </w:pPr>
      <w:r>
        <w:t>Akte 08: Szenario A.</w:t>
      </w:r>
    </w:p>
    <w:p>
      <w:pPr>
        <w:pStyle w:val="ListBullet"/>
      </w:pPr>
      <w:r>
        <w:t>Akte 09: Szenario B.</w:t>
      </w:r>
    </w:p>
    <w:p>
      <w:pPr>
        <w:pStyle w:val="ListBullet"/>
      </w:pPr>
      <w:r>
        <w:t>Akte 10: Szenario C.</w:t>
      </w:r>
    </w:p>
    <w:p>
      <w:pPr>
        <w:pStyle w:val="ListBullet"/>
      </w:pPr>
      <w:r>
        <w:t>Akte 12: § 3a Abs. 3 EStG-Verrechnung (kein Bedarf, da § 3a EStG nicht greift).</w:t>
      </w:r>
    </w:p>
    <w:p>
      <w:pPr>
        <w:pStyle w:val="ListBullet"/>
      </w:pPr>
      <w:r>
        <w:t>Akte 13: Verbindliche Auskunft.</w:t>
      </w:r>
    </w:p>
    <w:p>
      <w:pPr>
        <w:pStyle w:val="Heading2"/>
      </w:pPr>
      <w:r>
        <w:rPr>
          <w:rFonts w:ascii="Times New Roman" w:hAnsi="Times New Roman"/>
        </w:rPr>
        <w:t>7. Quellenverzeichnis</w:t>
      </w:r>
    </w:p>
    <w:p>
      <w:pPr>
        <w:pStyle w:val="ListBullet"/>
      </w:pPr>
      <w:r>
        <w:t>§ 3a EStG (Abs. 1–5).</w:t>
      </w:r>
    </w:p>
    <w:p>
      <w:pPr>
        <w:pStyle w:val="ListBullet"/>
      </w:pPr>
      <w:r>
        <w:t>§ 3a Abs. 2 EStG (vier Voraussetzungen).</w:t>
      </w:r>
    </w:p>
    <w:p>
      <w:pPr>
        <w:pStyle w:val="ListBullet"/>
      </w:pPr>
      <w:r>
        <w:t>§ 7b GewStG; § 36 Abs. 2c GewStG.</w:t>
      </w:r>
    </w:p>
    <w:p>
      <w:pPr>
        <w:pStyle w:val="ListBullet"/>
      </w:pPr>
      <w:r>
        <w:t>BFH zur Sanierungsabsicht und Sanierungseignung (im sanierungssteuerlichen Schrifttum vertieft; vor Anwendung verifizieren).</w:t>
      </w:r>
    </w:p>
    <w:p>
      <w:pPr>
        <w:pStyle w:val="ListBullet"/>
      </w:pPr>
      <w:r>
        <w:t>§ 8 Abs. 3 KStG (verdeckte Einlage).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Strassburger Handelshof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Strassburger Handelshof GmbH</w:t>
    </w:r>
  </w:p>
  <w:p>
    <w:pPr>
      <w:jc w:val="left"/>
      <w:pBdr>
        <w:bottom w:val="single" w:sz="6" w:space="2" w:color="7B2D3B"/>
      </w:pBdr>
    </w:pPr>
    <w:r>
      <w:rPr>
        <w:rFonts w:ascii="Times New Roman" w:hAnsi="Times New Roman"/>
        <w:color w:val="6B6B66"/>
        <w:sz w:val="16"/>
      </w:rPr>
      <w:t>HRB 188742 B AG Charlottenburg · Aktenzeichen Kanzlei: PE-2026-LIQ-0188 /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