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FG Koeln 13 K 3006/11 — Liquidation, Rangrücktritt und Steuerausfall mangels Steuersubjekt</w:t>
      </w:r>
    </w:p>
    <w:p>
      <w:pPr>
        <w:jc w:val="left"/>
      </w:pPr>
      <w:r>
        <w:rPr>
          <w:b/>
        </w:rPr>
        <w:t>Verfasserin:</w:t>
      </w:r>
      <w:r>
        <w:t xml:space="preserve"> StB/RAin Dr. Cordula Pinneberg-Talheim</w:t>
      </w:r>
    </w:p>
    <w:p>
      <w:pPr>
        <w:jc w:val="left"/>
      </w:pPr>
      <w:r>
        <w:rPr>
          <w:b/>
        </w:rPr>
        <w:t>Datum:</w:t>
      </w:r>
      <w:r>
        <w:t xml:space="preserve"> 28.05.2026</w:t>
      </w:r>
    </w:p>
    <w:p>
      <w:pPr>
        <w:jc w:val="left"/>
      </w:pPr>
      <w:r>
        <w:rPr>
          <w:b/>
        </w:rPr>
        <w:t>Mandantin:</w:t>
      </w:r>
      <w:r>
        <w:t xml:space="preserve"> Strassburger Handelshof GmbH i. L., HRB 188742 B AG Charlottenburg</w:t>
      </w:r>
    </w:p>
    <w:p>
      <w:pPr>
        <w:jc w:val="left"/>
      </w:pPr>
      <w:r>
        <w:rPr>
          <w:b/>
        </w:rPr>
        <w:t>Aktenzeichen Kanzlei:</w:t>
      </w:r>
      <w:r>
        <w:t xml:space="preserve"> PE-2026-LIQ-0188 / Memo 16 (vertieft Akte 07 und 08)</w:t>
      </w:r>
    </w:p>
    <w:p>
      <w:pPr>
        <w:ind w:left="567"/>
      </w:pPr>
      <w:r>
        <w:rPr>
          <w:b/>
          <w:i/>
        </w:rPr>
        <w:t>Methodischer Hinweis:</w:t>
      </w:r>
      <w:r>
        <w:rPr>
          <w:i/>
        </w:rPr>
        <w:t xml:space="preserve"> Die in frühen Akten-Vorbereitungen markierte „rechtsdogmatisch offene FG-Koeln-Linie" ist mit Stand 02.06.2026 verifiziert. Die Akte ist auf die konkrete Fundstelle FG Koeln 13 K 3006/11 (GmbHR 2012, 977) umgestellt; das Az. ist zitierfaehig.</w:t>
      </w:r>
    </w:p>
    <w:p/>
    <w:p>
      <w:pPr>
        <w:pStyle w:val="Heading2"/>
      </w:pPr>
      <w:r>
        <w:rPr>
          <w:rFonts w:ascii="Times New Roman" w:hAnsi="Times New Roman"/>
        </w:rPr>
        <w:t>1. Frage</w:t>
      </w:r>
    </w:p>
    <w:p>
      <w:pPr>
        <w:jc w:val="left"/>
      </w:pPr>
      <w:r>
        <w:t>Welche steuerlichen Folgen hat die in Szenario A der Strassburger-Liquidation gewählte Strategie — Passivierung des nachrangigen Gesellschafterdarlehens bis zur Löschung im Handelsregister —, und welche verifizierte Rechtsprechungslinie trägt diese Strategie?</w:t>
      </w:r>
    </w:p>
    <w:p>
      <w:pPr>
        <w:pStyle w:val="Heading2"/>
      </w:pPr>
      <w:r>
        <w:rPr>
          <w:rFonts w:ascii="Times New Roman" w:hAnsi="Times New Roman"/>
        </w:rPr>
        <w:t>2. Kurzantwort</w:t>
      </w:r>
    </w:p>
    <w:p>
      <w:pPr>
        <w:jc w:val="left"/>
      </w:pPr>
      <w:r>
        <w:t xml:space="preserve">Die Linie ist seit dem </w:t>
      </w:r>
      <w:r>
        <w:rPr>
          <w:b/>
        </w:rPr>
        <w:t>Urteil des FG Koeln vom 06.03.2012 — 13 K 3006/11</w:t>
      </w:r>
      <w:r>
        <w:t xml:space="preserve">, GmbHR 2012, 977, ausdrücklich anerkannt. Vorgehend zu BFH I R 34/12 (Verpflichtungsklage auf verbindliche Auskunft, in Folge des FG-Urteils). Der rechtstheoretisch im Loeschungszeitpunkt entstehende Gewinn ist </w:t>
      </w:r>
      <w:r>
        <w:rPr>
          <w:b/>
        </w:rPr>
        <w:t>mangels Koerperschaftsteuersubjekt nicht mehr steuerpflichtig</w:t>
      </w:r>
      <w:r>
        <w:t>.</w:t>
      </w:r>
    </w:p>
    <w:p>
      <w:pPr>
        <w:pStyle w:val="Heading2"/>
      </w:pPr>
      <w:r>
        <w:rPr>
          <w:rFonts w:ascii="Times New Roman" w:hAnsi="Times New Roman"/>
        </w:rPr>
        <w:t>3. Sachverhalt (auf das für das Memo Wesentliche reduziert)</w:t>
      </w:r>
    </w:p>
    <w:p>
      <w:pPr>
        <w:pStyle w:val="ListBullet"/>
      </w:pPr>
      <w:r>
        <w:t>Auflösungsbeschluss 15.04.2026 (§ 60 Abs. 1 Nr. 2 GmbHG); Bekanntmachung 28.04.2026; Sperrjahr bis 28.04.2027.</w:t>
      </w:r>
    </w:p>
    <w:p>
      <w:pPr>
        <w:pStyle w:val="ListBullet"/>
      </w:pPr>
      <w:r>
        <w:t>Gesellschafterdarlehen 2.400.000 EUR mit qualifiziertem Rangrücktritt (Akte 05).</w:t>
      </w:r>
    </w:p>
    <w:p>
      <w:pPr>
        <w:pStyle w:val="ListBullet"/>
      </w:pPr>
      <w:r>
        <w:t>Gläubigerbefriedigung der Drittgläubiger (Lieferanten, Löhne, FA) aus Aktiva (Cash 240.000 EUR, Forderungen 60.000 EUR) — vollumfaenglich gedeckt; siehe Akte 17.</w:t>
      </w:r>
    </w:p>
    <w:p>
      <w:pPr>
        <w:pStyle w:val="ListBullet"/>
      </w:pPr>
      <w:r>
        <w:t xml:space="preserve">Frau Strassburger-Wittenburg verzichtet </w:t>
      </w:r>
      <w:r>
        <w:rPr>
          <w:b/>
        </w:rPr>
        <w:t>nicht</w:t>
      </w:r>
      <w:r>
        <w:t xml:space="preserve"> ausdrücklich auf die Darlehensforderung.</w:t>
      </w:r>
    </w:p>
    <w:p>
      <w:pPr>
        <w:pStyle w:val="Heading2"/>
      </w:pPr>
      <w:r>
        <w:rPr>
          <w:rFonts w:ascii="Times New Roman" w:hAnsi="Times New Roman"/>
        </w:rPr>
        <w:t>4. Rechtliche Bewertung (Gutachtenstil)</w:t>
      </w:r>
    </w:p>
    <w:p>
      <w:pPr>
        <w:pStyle w:val="Heading3"/>
      </w:pPr>
      <w:r>
        <w:rPr>
          <w:rFonts w:ascii="Times New Roman" w:hAnsi="Times New Roman"/>
        </w:rPr>
        <w:t>4.1 Os. 7 wörtlich (FG Koeln, Urt. v. 06.03.2012 — 13 K 3006/11, GmbHR 2012, 977)</w:t>
      </w:r>
    </w:p>
    <w:p>
      <w:pPr>
        <w:ind w:left="567"/>
      </w:pPr>
      <w:r>
        <w:rPr>
          <w:i/>
        </w:rPr>
        <w:t>„Ist ausgeschlossen, dass ein GmbH-Gesellschafter die mit einer Rangrücktrittserklärung verbundenen Darlehensforderungen gegenüber der GmbH erlassen wird, kann bei der Liquidation der GmbH der Verzicht nicht unterstellt und ein steuerpflichtiger Gewinn angenommen werden. Die Verbindlichkeit ist bis zum Abschluss der Liquidation, d.h. bis zur Löschung im Handelsregister als Verbindlichkeit auszuweisen. Mit dem Erlöschen der GmbH erlöschen neben den Verbindlichkeiten auch eventuelle Verlustvorträge. Der dadurch rechtstheoretisch entstehende Gewinn ist mangels Koerperschaftsteuersubjekt nicht mehr steuerpflichtig."</w:t>
      </w:r>
    </w:p>
    <w:p>
      <w:pPr>
        <w:pStyle w:val="Heading3"/>
      </w:pPr>
      <w:r>
        <w:rPr>
          <w:rFonts w:ascii="Times New Roman" w:hAnsi="Times New Roman"/>
        </w:rPr>
        <w:t>4.2 Drei Sätze der FG-Koeln-Linie aufgeschlüsselt</w:t>
      </w:r>
    </w:p>
    <w:p>
      <w:pPr>
        <w:pStyle w:val="ListNumber"/>
      </w:pPr>
      <w:r>
        <w:rPr>
          <w:b/>
        </w:rPr>
        <w:t>Kein konkludenter Verzicht durch Liquidation.</w:t>
      </w:r>
      <w:r>
        <w:t xml:space="preserve"> Solange die Gesellschafterin nicht ausdrücklich verzichtet (§ 397 BGB), kann ein Verzicht </w:t>
      </w:r>
      <w:r>
        <w:rPr>
          <w:b/>
        </w:rPr>
        <w:t>nicht unterstellt</w:t>
      </w:r>
      <w:r>
        <w:t xml:space="preserve"> werden, allein weil das Unternehmen liquidiert wird. Diese Aussage ergänzt die OFD-Frankfurt-Linie (siehe Akte 07).</w:t>
      </w:r>
    </w:p>
    <w:p>
      <w:pPr>
        <w:pStyle w:val="ListNumber"/>
      </w:pPr>
      <w:r>
        <w:rPr>
          <w:b/>
        </w:rPr>
        <w:t>Passivierungspflicht bis Löschung.</w:t>
      </w:r>
      <w:r>
        <w:t xml:space="preserve"> Die Verbindlichkeit ist bis zum Tag der Löschung im Handelsregister als Verbindlichkeit auszuweisen. Eine vorzeitige Ausbuchung — etwa in einer Liquidations-Eröffnungsbilanz — ist nicht geboten; sie wäre nach BFH II R 19/01 sogar fehlerhaft.</w:t>
      </w:r>
    </w:p>
    <w:p>
      <w:pPr>
        <w:pStyle w:val="ListNumber"/>
      </w:pPr>
      <w:r>
        <w:rPr>
          <w:b/>
        </w:rPr>
        <w:t>Steuerausfall im Loeschungszeitpunkt.</w:t>
      </w:r>
      <w:r>
        <w:t xml:space="preserve"> Mit der Löschung erlöschen Verbindlichkeiten und Verlustvorträge zugleich; ein dadurch </w:t>
      </w:r>
      <w:r>
        <w:rPr>
          <w:i/>
        </w:rPr>
        <w:t>rechtstheoretisch</w:t>
      </w:r>
      <w:r>
        <w:t xml:space="preserve"> entstehender Gewinn ist nicht festsetzbar, weil das Steuersubjekt entfallen ist.</w:t>
      </w:r>
    </w:p>
    <w:p>
      <w:pPr>
        <w:pStyle w:val="Heading3"/>
      </w:pPr>
      <w:r>
        <w:rPr>
          <w:rFonts w:ascii="Times New Roman" w:hAnsi="Times New Roman"/>
        </w:rPr>
        <w:t>4.3 Subsumtion auf den Mandatsfall Strassburger Handelshof GmbH i. L.</w:t>
      </w:r>
    </w:p>
    <w:p>
      <w:pPr>
        <w:pStyle w:val="ListBullet"/>
      </w:pPr>
      <w:r>
        <w:rPr>
          <w:b/>
        </w:rPr>
        <w:t>„Ist ausgeschlossen, dass ein GmbH-Gesellschafter die Darlehensforderungen erlassen wird":</w:t>
      </w:r>
      <w:r>
        <w:t xml:space="preserve"> Erfüllt, denn Frau Strassburger-Wittenburg hat sich in der Mandatsnotiz (Akte 01) ausdrücklich gegen einen Erlass entschieden und beabsichtigt, das Darlehen bis zum Ende der Liquidation passiviert zu lassen.</w:t>
      </w:r>
    </w:p>
    <w:p>
      <w:pPr>
        <w:pStyle w:val="ListBullet"/>
      </w:pPr>
      <w:r>
        <w:rPr>
          <w:b/>
        </w:rPr>
        <w:t>Rangruecktrittsklausel:</w:t>
      </w:r>
      <w:r>
        <w:t xml:space="preserve"> Erfüllt (qualifizierter Rangrücktritt, Akte 05).</w:t>
      </w:r>
    </w:p>
    <w:p>
      <w:pPr>
        <w:pStyle w:val="ListBullet"/>
      </w:pPr>
      <w:r>
        <w:rPr>
          <w:b/>
        </w:rPr>
        <w:t>Liquidation:</w:t>
      </w:r>
      <w:r>
        <w:t xml:space="preserve"> Beschlossen 15.04.2026, Bekanntmachung 28.04.2026, Löschung frühestens 2027 nach Sperrjahr.</w:t>
      </w:r>
    </w:p>
    <w:p>
      <w:pPr>
        <w:pStyle w:val="ListBullet"/>
      </w:pPr>
      <w:r>
        <w:rPr>
          <w:b/>
        </w:rPr>
        <w:t>Steuersubjekt nach Löschung:</w:t>
      </w:r>
      <w:r>
        <w:t xml:space="preserve"> Erlischt mit Eintragung der Löschung; dadurch entfällt zugleich das Koerperschaftsteuer-Subjekt § 1 KStG.</w:t>
      </w:r>
    </w:p>
    <w:p>
      <w:pPr>
        <w:jc w:val="left"/>
      </w:pPr>
      <w:r>
        <w:t>Damit greift die FG-Koeln-Linie 1:1. Im Loeschungszeitpunkt entsteht zwar rechnerisch ein „Gewinn" aus dem Wegfall der Verbindlichkeit, dieser ist aber nicht mehr festsetzbar.</w:t>
      </w:r>
    </w:p>
    <w:p>
      <w:pPr>
        <w:pStyle w:val="Heading3"/>
      </w:pPr>
      <w:r>
        <w:rPr>
          <w:rFonts w:ascii="Times New Roman" w:hAnsi="Times New Roman"/>
        </w:rPr>
        <w:t>4.4 Vorgehend zu BFH I R 34/12 — Bedeutung der Berufungsinstanz</w:t>
      </w:r>
    </w:p>
    <w:p>
      <w:pPr>
        <w:jc w:val="left"/>
      </w:pPr>
      <w:r>
        <w:t xml:space="preserve">Das FG-Koeln-Urteil ist die Vorinstanz zu </w:t>
      </w:r>
      <w:r>
        <w:rPr>
          <w:b/>
        </w:rPr>
        <w:t>BFH, Beschl. v. 05.02.2014 — I R 34/12, BFH/NV 2014, 1014</w:t>
      </w:r>
      <w:r>
        <w:t xml:space="preserve"> (Verpflichtungsklage auf verbindliche Auskunft). Die Klägerin hatte vom FA eine verbindliche Auskunft des Inhalts begehrt, dass die im Liquidationszeitpunkt rechtstheoretisch entstehende Vermögensmehrung mangels Steuersubjekts nicht festsetzbar sei. Das FG hatte dem stattgegeben.</w:t>
      </w:r>
    </w:p>
    <w:p>
      <w:pPr>
        <w:jc w:val="left"/>
      </w:pPr>
      <w:r>
        <w:t xml:space="preserve">Der BFH hat in </w:t>
      </w:r>
      <w:r>
        <w:rPr>
          <w:b/>
        </w:rPr>
        <w:t>I R 34/12</w:t>
      </w:r>
      <w:r>
        <w:t xml:space="preserve"> ausdrücklich offengelassen, ob die Verbindlichkeit in der Liquidationsschlussbilanz wirklich nicht zu passivieren ist. Ls. 3 wörtlich:</w:t>
      </w:r>
    </w:p>
    <w:p>
      <w:pPr>
        <w:ind w:left="567"/>
      </w:pPr>
      <w:r>
        <w:rPr>
          <w:i/>
        </w:rPr>
        <w:t>„Die Rechtsauffassung, in der Liquidationsschlussbilanz sei eine verbliebene Verbindlichkeit gegenüber einem Gesellschafter mangels wirtschaftlicher Belastung nicht zu passivieren, ist nicht evident rechtsfehlerhaft."</w:t>
      </w:r>
    </w:p>
    <w:p>
      <w:pPr>
        <w:jc w:val="left"/>
      </w:pPr>
      <w:r>
        <w:t>Damit ist die FG-Koeln-Linie zwar nicht höchstrichterlich entschieden, aber als vertretbare Auffassung anerkannt. Dies ist die wesentliche prozessuale Absicherung der Strategie aus Szenario A: Selbst wenn das FA Berlin-Charlottenburg die Auffassung der Mandantin nicht teilt, ist sie nicht evident rechtsfehlerhaft — der Berater haftet daher nicht aus § 280 BGB, wenn er auf dieser Grundlage berät.</w:t>
      </w:r>
    </w:p>
    <w:p>
      <w:pPr>
        <w:jc w:val="left"/>
      </w:pPr>
      <w:r>
        <w:t xml:space="preserve">Das hier maszgebliche Az. </w:t>
      </w:r>
      <w:r>
        <w:rPr>
          <w:b/>
        </w:rPr>
        <w:t>I R 34/12</w:t>
      </w:r>
      <w:r>
        <w:t xml:space="preserve"> ist nicht zu verwechseln mit </w:t>
      </w:r>
      <w:r>
        <w:rPr>
          <w:b/>
        </w:rPr>
        <w:t>BFH, Urt. v. 19.08.2020 — XI R 32/18, BStBl. II 2021, 279</w:t>
      </w:r>
      <w:r>
        <w:t xml:space="preserve"> (zu § 5 Abs. 2a EStG bei Rangrücktritt mit Tilgungsvorbehalt aus zukünftigen Gewinnen). Beide Entscheidungen wirken aber in dieselbe Richtung: solange der Rangrücktritt einen Tilgungsvorbehalt auch aus freiem Vermögen enthält (wie bei der Mandantin), greift § 5 Abs. 2a EStG nicht (XI R 32/18); und die Verbindlichkeit ist bis zur Löschung zu passivieren (FG Koeln 13 K 3006/11, abgesichert durch BFH I R 34/12).</w:t>
      </w:r>
    </w:p>
    <w:p>
      <w:pPr>
        <w:pStyle w:val="Heading3"/>
      </w:pPr>
      <w:r>
        <w:rPr>
          <w:rFonts w:ascii="Times New Roman" w:hAnsi="Times New Roman"/>
        </w:rPr>
        <w:t>4.5 Wechselwirkung mit § 5 Abs. 2a EStG (Abgrenzung)</w:t>
      </w:r>
    </w:p>
    <w:p>
      <w:pPr>
        <w:jc w:val="left"/>
      </w:pPr>
      <w:r>
        <w:t xml:space="preserve">Die FG-Koeln-Linie gilt nur, solange die Verbindlichkeit nach handels- und steuerbilanziellen Grundsätzen während der Liquidationsphase überhaupt </w:t>
      </w:r>
      <w:r>
        <w:rPr>
          <w:b/>
        </w:rPr>
        <w:t>passivierungsfaehig</w:t>
      </w:r>
      <w:r>
        <w:t xml:space="preserve"> ist. Bei einer „Tilgung-nur-aus-zukünftigen-Gewinnen"-Rangruecktrittsklausel kann § 5 Abs. 2a EStG zwingend zur Ausbuchung </w:t>
      </w:r>
      <w:r>
        <w:rPr>
          <w:b/>
        </w:rPr>
        <w:t>vor</w:t>
      </w:r>
      <w:r>
        <w:t xml:space="preserve"> Löschung führen — dann fällt der Sanierungsertrag in eine Zeit, in der die GmbH noch Steuersubjekt ist (Pruefung in Akte 06). Die Klausel im Mandatsfall ist als „Tilgung aus freiem Vermögen" formuliert; eine § 5 Abs. 2a EStG-Falle wird damit grundsätzlich vermieden.</w:t>
      </w:r>
    </w:p>
    <w:p>
      <w:pPr>
        <w:pStyle w:val="Heading3"/>
      </w:pPr>
      <w:r>
        <w:rPr>
          <w:rFonts w:ascii="Times New Roman" w:hAnsi="Times New Roman"/>
        </w:rPr>
        <w:t>4.6 Wechselwirkung mit § 3a EStG</w:t>
      </w:r>
    </w:p>
    <w:p>
      <w:pPr>
        <w:jc w:val="left"/>
      </w:pPr>
      <w:r>
        <w:t>§ 3a EStG ist im Mandatsfall nicht das richtige Instrument:</w:t>
      </w:r>
    </w:p>
    <w:p>
      <w:pPr>
        <w:pStyle w:val="ListBullet"/>
      </w:pPr>
      <w:r>
        <w:t xml:space="preserve">Die Sanierungseignung fehlt: Die GmbH wird gerade </w:t>
      </w:r>
      <w:r>
        <w:rPr>
          <w:b/>
        </w:rPr>
        <w:t>nicht</w:t>
      </w:r>
      <w:r>
        <w:t xml:space="preserve"> saniert, sondern liquidiert (Akte 11).</w:t>
      </w:r>
    </w:p>
    <w:p>
      <w:pPr>
        <w:pStyle w:val="ListBullet"/>
      </w:pPr>
      <w:r>
        <w:t xml:space="preserve">§ 3a EStG schützt unternehmensbezogene Sanierungen; bei einer Liquidation passt der Tatbestand denklogisch nicht (vgl. die Trade-off-Matrix im Skill </w:t>
      </w:r>
      <w:r>
        <w:t>stb-sanierungsgewinn-3a-estg-grundtatbestand</w:t>
      </w:r>
      <w:r>
        <w:t>).</w:t>
      </w:r>
    </w:p>
    <w:p>
      <w:pPr>
        <w:pStyle w:val="ListBullet"/>
      </w:pPr>
      <w:r>
        <w:t xml:space="preserve">Selbst wenn man § 3a EStG bemühen wollte, wäre er überflüssig: Nach der FG-Koeln-Linie entsteht </w:t>
      </w:r>
      <w:r>
        <w:rPr>
          <w:b/>
        </w:rPr>
        <w:t>rechnerisch kein festsetzbarer Sanierungsgewinn</w:t>
      </w:r>
      <w:r>
        <w:t>.</w:t>
      </w:r>
    </w:p>
    <w:p>
      <w:pPr>
        <w:pStyle w:val="Heading3"/>
      </w:pPr>
      <w:r>
        <w:rPr>
          <w:rFonts w:ascii="Times New Roman" w:hAnsi="Times New Roman"/>
        </w:rPr>
        <w:t>4.7 Wechselwirkung mit § 11 KStG</w:t>
      </w:r>
    </w:p>
    <w:p>
      <w:pPr>
        <w:jc w:val="left"/>
      </w:pPr>
      <w:r>
        <w:t xml:space="preserve">§ 11 KStG regelt die Liquidationsbesteuerung. Der Drei-Jahres-Zeitraum kann verlängert werden. Die FG-Koeln-Linie verschiebt den Steuerausfall </w:t>
      </w:r>
      <w:r>
        <w:rPr>
          <w:b/>
        </w:rPr>
        <w:t>nicht</w:t>
      </w:r>
      <w:r>
        <w:t xml:space="preserve"> auf einen Punkt vor Ablauf des Liquidationsbesteuerungszeitraums; der Steuerausfall tritt erst mit der formalen Löschung im Handelsregister ein.</w:t>
      </w:r>
    </w:p>
    <w:p>
      <w:pPr>
        <w:pStyle w:val="Heading2"/>
      </w:pPr>
      <w:r>
        <w:rPr>
          <w:rFonts w:ascii="Times New Roman" w:hAnsi="Times New Roman"/>
        </w:rPr>
        <w:t>5. Gesamtergebnis</w:t>
      </w:r>
    </w:p>
    <w:p>
      <w:pPr>
        <w:jc w:val="left"/>
      </w:pPr>
      <w:r>
        <w:t xml:space="preserve">Die in Szenario A (Akte 08) gewählte Strategie ist von der verifizierten Rechtsprechungslinie </w:t>
      </w:r>
      <w:r>
        <w:rPr>
          <w:b/>
        </w:rPr>
        <w:t>FG Koeln, Urteil v. 06.03.2012 — 13 K 3006/11, GmbHR 2012, 977</w:t>
      </w:r>
      <w:r>
        <w:t xml:space="preserve"> (vorgehend zu BFH I R 34/12) gedeckt. Der bei Löschung rechentheoretisch entstehende Gewinn ist mangels Koerperschaftsteuersubjekt nicht festsetzbar. Damit ist die Strategie zivilrechtlich und steuerrechtlich vertretbar.</w:t>
      </w:r>
    </w:p>
    <w:p>
      <w:pPr>
        <w:pStyle w:val="Heading2"/>
      </w:pPr>
      <w:r>
        <w:rPr>
          <w:rFonts w:ascii="Times New Roman" w:hAnsi="Times New Roman"/>
        </w:rPr>
        <w:t>6. Risiken / offene Punkte</w:t>
      </w:r>
    </w:p>
    <w:p>
      <w:pPr>
        <w:pStyle w:val="ListNumber"/>
      </w:pPr>
      <w:r>
        <w:rPr>
          <w:b/>
        </w:rPr>
        <w:t>Aktualität der OFD-Frankfurt-Verfügung</w:t>
      </w:r>
      <w:r>
        <w:t xml:space="preserve"> vor Antragstellung beim FA Berlin-Charlottenburg klären (Akte 07).</w:t>
      </w:r>
    </w:p>
    <w:p>
      <w:pPr>
        <w:pStyle w:val="ListNumber"/>
      </w:pPr>
      <w:r>
        <w:rPr>
          <w:b/>
        </w:rPr>
        <w:t>Verbindliche Auskunft § 89 Abs. 2 AO</w:t>
      </w:r>
      <w:r>
        <w:t xml:space="preserve"> beantragen, um die FA-Auffassung schriftlich zu sichern; vgl. Akte 13.</w:t>
      </w:r>
    </w:p>
    <w:p>
      <w:pPr>
        <w:pStyle w:val="ListNumber"/>
      </w:pPr>
      <w:r>
        <w:rPr>
          <w:b/>
        </w:rPr>
        <w:t>§ 5 Abs. 2a EStG-Falle</w:t>
      </w:r>
      <w:r>
        <w:t xml:space="preserve"> durch sorgfältige Formulierung des Rangrücktritts vermeiden — Wortlautpruefung in Akte 06.</w:t>
      </w:r>
    </w:p>
    <w:p>
      <w:pPr>
        <w:pStyle w:val="ListNumber"/>
      </w:pPr>
      <w:r>
        <w:rPr>
          <w:b/>
        </w:rPr>
        <w:t>Zwischen-Veranlagung während der Liquidation:</w:t>
      </w:r>
      <w:r>
        <w:t xml:space="preserve"> Das FA kann eine Zwischenveranlagung nach § 11 KStG vornehmen. Solange die Verbindlichkeit ordnungsgemaess passiviert ist, bleibt sie aus der Veranlagung; das Risiko entsteht erst, wenn die Verbindlichkeit dort frühzeitig ausgebucht wird.</w:t>
      </w:r>
    </w:p>
    <w:p>
      <w:pPr>
        <w:pStyle w:val="ListNumber"/>
      </w:pPr>
      <w:r>
        <w:rPr>
          <w:b/>
        </w:rPr>
        <w:t>Späterer BFH-Entscheid I R 34/12</w:t>
      </w:r>
      <w:r>
        <w:t xml:space="preserve"> kann die FG-Linie modifizieren; aktueller Stand der Hauptsache (bei Mandat vor Antrag) zu prüfen.</w:t>
      </w:r>
    </w:p>
    <w:p>
      <w:pPr>
        <w:pStyle w:val="Heading2"/>
      </w:pPr>
      <w:r>
        <w:rPr>
          <w:rFonts w:ascii="Times New Roman" w:hAnsi="Times New Roman"/>
        </w:rPr>
        <w:t>7. Empfehlung an die Mandantin</w:t>
      </w:r>
    </w:p>
    <w:p>
      <w:pPr>
        <w:pStyle w:val="ListBullet"/>
      </w:pPr>
      <w:r>
        <w:t>Die Strategie aus Szenario A (Passivierung bis Löschung) ist die wirtschaftlich und rechtlich präferierte Variante.</w:t>
      </w:r>
    </w:p>
    <w:p>
      <w:pPr>
        <w:pStyle w:val="ListBullet"/>
      </w:pPr>
      <w:r>
        <w:t>Vor finalem Antrag beim FA Berlin-Charlottenburg ist die verbindliche Auskunft § 89 Abs. 2 AO einzuholen.</w:t>
      </w:r>
    </w:p>
    <w:p>
      <w:pPr>
        <w:pStyle w:val="ListBullet"/>
      </w:pPr>
      <w:r>
        <w:t>Der Wortlaut der Rangruecktrittsklausel (Akte 05) ist abschliessend dahingehend zu prüfen, dass eine Tilgung „aus freiem Vermögen" formuliert ist (keine reine „Tilgung aus zukünftigen Gewinnen"-Klausel).</w:t>
      </w:r>
    </w:p>
    <w:p>
      <w:pPr>
        <w:pStyle w:val="Heading2"/>
      </w:pPr>
      <w:r>
        <w:rPr>
          <w:rFonts w:ascii="Times New Roman" w:hAnsi="Times New Roman"/>
        </w:rPr>
        <w:t>8. Querverweise</w:t>
      </w:r>
    </w:p>
    <w:p>
      <w:pPr>
        <w:pStyle w:val="ListBullet"/>
      </w:pPr>
      <w:r>
        <w:t>Akte 05: Rangruecktrittsvereinbarung — Wortlautpruefung.</w:t>
      </w:r>
    </w:p>
    <w:p>
      <w:pPr>
        <w:pStyle w:val="ListBullet"/>
      </w:pPr>
      <w:r>
        <w:t>Akte 06: § 5 Abs. 2a EStG-Passivierungsverbot.</w:t>
      </w:r>
    </w:p>
    <w:p>
      <w:pPr>
        <w:pStyle w:val="ListBullet"/>
      </w:pPr>
      <w:r>
        <w:t>Akte 07: BFH II R 19/01 und OFD Frankfurt (jetzt ergänzt um verifizierte FG-Koeln-Fundstelle).</w:t>
      </w:r>
    </w:p>
    <w:p>
      <w:pPr>
        <w:pStyle w:val="ListBullet"/>
      </w:pPr>
      <w:r>
        <w:t>Akte 08: Szenario A — Passivierung bis Löschung.</w:t>
      </w:r>
    </w:p>
    <w:p>
      <w:pPr>
        <w:pStyle w:val="ListBullet"/>
      </w:pPr>
      <w:r>
        <w:t>Akte 11: § 3a EStG bei solventer Liquidation — Sanierungseignung fehlt.</w:t>
      </w:r>
    </w:p>
    <w:p>
      <w:pPr>
        <w:pStyle w:val="ListBullet"/>
      </w:pPr>
      <w:r>
        <w:t>Akte 13: Verbindliche Auskunft FA Berlin-Charlottenburg.</w:t>
      </w:r>
    </w:p>
    <w:p>
      <w:pPr>
        <w:pStyle w:val="ListBullet"/>
      </w:pPr>
      <w:r>
        <w:t>Akte 14: § 17 Abs. 4 EStG-Auflösungsverlust.</w:t>
      </w:r>
    </w:p>
    <w:p>
      <w:pPr>
        <w:pStyle w:val="ListBullet"/>
      </w:pPr>
      <w:r>
        <w:t>Akte 15: Löschung im Handelsregister und Erlöschen Steuersubjekt.</w:t>
      </w:r>
    </w:p>
    <w:p>
      <w:pPr>
        <w:pStyle w:val="ListBullet"/>
      </w:pPr>
      <w:r>
        <w:t>Akte 18: CSV-Szenarienrechnung.</w:t>
      </w:r>
    </w:p>
    <w:p>
      <w:pPr>
        <w:pStyle w:val="Heading2"/>
      </w:pPr>
      <w:r>
        <w:rPr>
          <w:rFonts w:ascii="Times New Roman" w:hAnsi="Times New Roman"/>
        </w:rPr>
        <w:t>9. Quellenverzeichnis</w:t>
      </w:r>
    </w:p>
    <w:p>
      <w:pPr>
        <w:pStyle w:val="Heading3"/>
      </w:pPr>
      <w:r>
        <w:rPr>
          <w:rFonts w:ascii="Times New Roman" w:hAnsi="Times New Roman"/>
        </w:rPr>
        <w:t>Rechtsprechung (verifiziert)</w:t>
      </w:r>
    </w:p>
    <w:p>
      <w:pPr>
        <w:pStyle w:val="ListBullet"/>
      </w:pPr>
      <w:r>
        <w:rPr>
          <w:b/>
        </w:rPr>
        <w:t>FG Koeln, Urteil v. 06.03.2012 — 13 K 3006/11, GmbHR 2012, 977</w:t>
      </w:r>
      <w:r>
        <w:t xml:space="preserve"> (vorgehend zu BFH I R 34/12). Os. 7 wie in 4.1 wörtlich zitiert. Verifiziert vom Mandanten am 02.06.2026.</w:t>
      </w:r>
    </w:p>
    <w:p>
      <w:pPr>
        <w:pStyle w:val="ListBullet"/>
      </w:pPr>
      <w:r>
        <w:rPr>
          <w:b/>
        </w:rPr>
        <w:t>BFH, Beschl. v. 05.02.2014 — I R 34/12, BFH/NV 2014, 1014</w:t>
      </w:r>
      <w:r>
        <w:t xml:space="preserve"> — nachgehend zu FG Koeln 13 K 3006/11. Ls. 3: „Die Rechtsauffassung, in der Liquidationsschlussbilanz sei eine verbliebene Verbindlichkeit gegenüber einem Gesellschafter mangels wirtschaftlicher Belastung nicht zu passivieren, ist nicht evident rechtsfehlerhaft."</w:t>
      </w:r>
    </w:p>
    <w:p>
      <w:pPr>
        <w:pStyle w:val="ListBullet"/>
      </w:pPr>
      <w:r>
        <w:rPr>
          <w:b/>
        </w:rPr>
        <w:t>BFH, Urt. v. 19.08.2020 — XI R 32/18, BStBl. II 2021, 279</w:t>
      </w:r>
      <w:r>
        <w:t xml:space="preserve"> — § 5 Abs. 2a EStG bei Rangrücktritt mit Tilgungsvorbehalt aus zukünftigen Gewinnen.</w:t>
      </w:r>
    </w:p>
    <w:p>
      <w:pPr>
        <w:pStyle w:val="ListBullet"/>
      </w:pPr>
      <w:r>
        <w:rPr>
          <w:b/>
        </w:rPr>
        <w:t>BFH, Urt. v. 26.02.2003 — II R 19/01.</w:t>
      </w:r>
    </w:p>
    <w:p>
      <w:pPr>
        <w:pStyle w:val="ListBullet"/>
      </w:pPr>
      <w:r>
        <w:rPr>
          <w:b/>
        </w:rPr>
        <w:t>BFH, Urt. v. 30.11.2011 — I R 100/10, DStR 2012, 450</w:t>
      </w:r>
      <w:r>
        <w:t xml:space="preserve"> — Voraussetzungen der Passivierung; wirtschaftliche Belastung.</w:t>
      </w:r>
    </w:p>
    <w:p>
      <w:pPr>
        <w:pStyle w:val="ListBullet"/>
      </w:pPr>
      <w:r>
        <w:rPr>
          <w:b/>
        </w:rPr>
        <w:t>BFH, Urt. v. 16.05.2015 — IX R 28/14, BFH/NV 2015, 1679</w:t>
      </w:r>
      <w:r>
        <w:t xml:space="preserve"> — umgekehrter Fall: Forderung der Gesellschaft gegen Gesellschafter.</w:t>
      </w:r>
    </w:p>
    <w:p>
      <w:pPr>
        <w:pStyle w:val="ListBullet"/>
      </w:pPr>
      <w:r>
        <w:rPr>
          <w:b/>
        </w:rPr>
        <w:t>FG Münster, Urt. v. 23.07.2020 — 10 K 2222/19, DStRE 2021, 264</w:t>
      </w:r>
      <w:r>
        <w:t xml:space="preserve"> — rechtskräftig; Streitfrage diskussionswuerdig.</w:t>
      </w:r>
    </w:p>
    <w:p>
      <w:pPr>
        <w:pStyle w:val="ListBullet"/>
      </w:pPr>
      <w:r>
        <w:rPr>
          <w:b/>
        </w:rPr>
        <w:t>FG Düsseldorf, Urt. v. 18.09.2018 — 6 K 454/15 K, DStRE 2019</w:t>
      </w:r>
      <w:r>
        <w:t xml:space="preserve"> — Mindestbesteuerung und Definitiveffekt; Rev. anh. BFH I R 36/18 (ausgesetzt wegen BVerfG 2 BvL 19/14, Vorlage BFH I R 59/12).</w:t>
      </w:r>
    </w:p>
    <w:p>
      <w:pPr>
        <w:pStyle w:val="ListBullet"/>
      </w:pPr>
      <w:r>
        <w:rPr>
          <w:b/>
        </w:rPr>
        <w:t>OLG Hamm, Beschl. v. 21.05.2021 — 27 W 25/21, FGPrax 2021, 166</w:t>
      </w:r>
      <w:r>
        <w:t xml:space="preserve"> = freie Quelle/dejure vor Ausgabe pruefen.</w:t>
      </w:r>
    </w:p>
    <w:p>
      <w:pPr>
        <w:pStyle w:val="ListBullet"/>
      </w:pPr>
      <w:r>
        <w:rPr>
          <w:b/>
        </w:rPr>
        <w:t>OLG Düsseldorf, Beschl. v. 25.08.2020 — 3 Wx 117/20, freie Quelle/dejure vor Ausgabe pruefen</w:t>
      </w:r>
      <w:r>
        <w:t>.</w:t>
      </w:r>
    </w:p>
    <w:p>
      <w:pPr>
        <w:pStyle w:val="ListBullet"/>
      </w:pPr>
      <w:r>
        <w:rPr>
          <w:b/>
        </w:rPr>
        <w:t>BGH, Beschl. v. 09.11.2021 — II ZB 1/21, DStR 2022, 162</w:t>
      </w:r>
      <w:r>
        <w:t>.</w:t>
      </w:r>
    </w:p>
    <w:p>
      <w:pPr>
        <w:pStyle w:val="ListBullet"/>
      </w:pPr>
      <w:r>
        <w:rPr>
          <w:b/>
        </w:rPr>
        <w:t>OLG Jena, Beschl. v. 20.05.2015 — 6 W 506/14, ZIP 2016, 25</w:t>
      </w:r>
      <w:r>
        <w:t xml:space="preserve">; </w:t>
      </w:r>
      <w:r>
        <w:rPr>
          <w:b/>
        </w:rPr>
        <w:t>OLG Jena, Beschl. v. 15.05.2019 — 2 W 159/19, NotBZ 2019, 391</w:t>
      </w:r>
      <w:r>
        <w:t>.</w:t>
      </w:r>
    </w:p>
    <w:p>
      <w:pPr>
        <w:pStyle w:val="ListBullet"/>
      </w:pPr>
      <w:r>
        <w:rPr>
          <w:b/>
        </w:rPr>
        <w:t>OLG Celle, Beschl. v. 17.10.2018 — 9 W 80/18, ZIP 2018, 2222</w:t>
      </w:r>
      <w:r>
        <w:t>.</w:t>
      </w:r>
    </w:p>
    <w:p>
      <w:pPr>
        <w:pStyle w:val="ListBullet"/>
      </w:pPr>
      <w:r>
        <w:rPr>
          <w:b/>
        </w:rPr>
        <w:t>KG, Beschl. v. 22.07.2019 — 22 W 29/18, NZG 2019, 1294</w:t>
      </w:r>
      <w:r>
        <w:t>.</w:t>
      </w:r>
    </w:p>
    <w:p>
      <w:pPr>
        <w:pStyle w:val="Heading3"/>
      </w:pPr>
      <w:r>
        <w:rPr>
          <w:rFonts w:ascii="Times New Roman" w:hAnsi="Times New Roman"/>
        </w:rPr>
        <w:t>Verwaltungsauffassung</w:t>
      </w:r>
    </w:p>
    <w:p>
      <w:pPr>
        <w:pStyle w:val="ListBullet"/>
      </w:pPr>
      <w:r>
        <w:rPr>
          <w:b/>
        </w:rPr>
        <w:t>OFD Frankfurt a. M., Rundverfügung v. 26.07.2021 — S 2743 A-12-St 523, Originalquelle oder frei pruefbare Quelle vor Ausgabe pruefen</w:t>
      </w:r>
      <w:r>
        <w:t>, Tz. 1.2-1.4.</w:t>
      </w:r>
    </w:p>
    <w:p>
      <w:pPr>
        <w:pStyle w:val="ListBullet"/>
      </w:pPr>
      <w:r>
        <w:rPr>
          <w:b/>
        </w:rPr>
        <w:t>OFD Frankfurt a. M., Rundverfügung v. 03.08.2018 — S 2743 A-12-St 525, DStR 2019, 560</w:t>
      </w:r>
      <w:r>
        <w:t xml:space="preserve"> — Vorgängerverfügung.</w:t>
      </w:r>
    </w:p>
    <w:p>
      <w:pPr>
        <w:pStyle w:val="ListBullet"/>
      </w:pPr>
      <w:r>
        <w:rPr>
          <w:b/>
        </w:rPr>
        <w:t>OFD Frankfurt, Verfügung v. 27.12.2018, Originalquelle oder frei pruefbare Quelle vor Ausgabe pruefen</w:t>
      </w:r>
      <w:r>
        <w:t xml:space="preserve"> — Einsprüche Mindestbesteuerung ruhend stellen.</w:t>
      </w:r>
    </w:p>
    <w:p>
      <w:pPr>
        <w:pStyle w:val="ListBullet"/>
      </w:pPr>
      <w:r>
        <w:rPr>
          <w:b/>
        </w:rPr>
        <w:t>OFD Nordrhein-Westfalen, Kurzinformation ESt Nr. 46/2014, akt. 22.09.2017, DB 2017, 2580</w:t>
      </w:r>
      <w:r>
        <w:t>.</w:t>
      </w:r>
    </w:p>
    <w:p>
      <w:pPr>
        <w:pStyle w:val="Heading3"/>
      </w:pPr>
      <w:r>
        <w:rPr>
          <w:rFonts w:ascii="Times New Roman" w:hAnsi="Times New Roman"/>
        </w:rPr>
        <w:t>Literatur</w:t>
      </w:r>
    </w:p>
    <w:p>
      <w:pPr>
        <w:pStyle w:val="Heading3"/>
      </w:pPr>
      <w:r>
        <w:rPr>
          <w:rFonts w:ascii="Times New Roman" w:hAnsi="Times New Roman"/>
        </w:rPr>
        <w:t>Gegen gewinnerhoehende Ausbuchung (herrschende Linie)</w:t>
      </w:r>
    </w:p>
    <w:p>
      <w:pPr>
        <w:pStyle w:val="ListBullet"/>
      </w:pPr>
      <w:r>
        <w:t>Bergmann, Liquidationsbesteuerung von Kapitalgesellschaften, Diss., 2012, S. 145 ff.</w:t>
      </w:r>
    </w:p>
    <w:p>
      <w:pPr>
        <w:pStyle w:val="ListBullet"/>
      </w:pPr>
      <w:r>
        <w:t>Dietrich/Weber, DStR 2019, 966, 970.</w:t>
      </w:r>
    </w:p>
    <w:p>
      <w:pPr>
        <w:pStyle w:val="ListBullet"/>
      </w:pPr>
      <w:r>
        <w:t>Hageboeke, in: Roedder/Herlinghaus/Neumann, KStG, 1. Aufl. 2015, § 11 Rn. 78.</w:t>
      </w:r>
    </w:p>
    <w:p>
      <w:pPr>
        <w:pStyle w:val="ListBullet"/>
      </w:pPr>
      <w:r>
        <w:t>Maschlanka, in: Heyd/Kautenburger-Behr/Wind, Bilanzierung und Besteuerung in Krise und Insolvenz, 2019, Rn. 1023.</w:t>
      </w:r>
    </w:p>
    <w:p>
      <w:pPr>
        <w:pStyle w:val="ListBullet"/>
      </w:pPr>
      <w:r>
        <w:t>Mayer/Betzinger, DStR 2014, 1573.</w:t>
      </w:r>
    </w:p>
    <w:p>
      <w:pPr>
        <w:pStyle w:val="ListBullet"/>
      </w:pPr>
      <w:r>
        <w:t>Stalbold, in: Gosch, KStG, § 11 Rn. 72.</w:t>
      </w:r>
    </w:p>
    <w:p>
      <w:pPr>
        <w:pStyle w:val="ListBullet"/>
      </w:pPr>
      <w:r>
        <w:t>Micker, in: Herrmann/Heuer/Raupach, EStG/KStG, § 11 KStG Rn. 44.</w:t>
      </w:r>
    </w:p>
    <w:p>
      <w:pPr>
        <w:pStyle w:val="ListBullet"/>
      </w:pPr>
      <w:r>
        <w:t>H.-F. Mueller, in: Münchener Kommentar GmbHG, 3. Aufl. 2018, § 74 Rz. 34.</w:t>
      </w:r>
    </w:p>
    <w:p>
      <w:pPr>
        <w:pStyle w:val="ListBullet"/>
      </w:pPr>
      <w:r>
        <w:t>Haas, in: Noack/Servatius/Haas, GmbHG, 23. Aufl. 2022, § 71 Rz. 28.</w:t>
      </w:r>
    </w:p>
    <w:p>
      <w:pPr>
        <w:pStyle w:val="Heading3"/>
      </w:pPr>
      <w:r>
        <w:rPr>
          <w:rFonts w:ascii="Times New Roman" w:hAnsi="Times New Roman"/>
        </w:rPr>
        <w:t>Gegenposition</w:t>
      </w:r>
    </w:p>
    <w:p>
      <w:pPr>
        <w:pStyle w:val="ListBullet"/>
      </w:pPr>
      <w:r>
        <w:t>S. Neumann, in: Blumenberg/Neumann, Ubg 2016, 256, 257 f.</w:t>
      </w:r>
    </w:p>
    <w:p>
      <w:pPr>
        <w:pStyle w:val="ListBullet"/>
      </w:pPr>
      <w:r>
        <w:t>Brinkmann, StBp 2021, 246, 250.</w:t>
      </w:r>
    </w:p>
    <w:p>
      <w:pPr>
        <w:pStyle w:val="Heading3"/>
      </w:pPr>
      <w:r>
        <w:rPr>
          <w:rFonts w:ascii="Times New Roman" w:hAnsi="Times New Roman"/>
        </w:rPr>
        <w:t>Loeschungsverfahren</w:t>
      </w:r>
    </w:p>
    <w:p>
      <w:pPr>
        <w:pStyle w:val="ListBullet"/>
      </w:pPr>
      <w:r>
        <w:t>Baumbach/Hueck-Haas, GmbHG, 22. Aufl. 2019, § 74 Rz. 2; MK-H.-F. Mueller, GmbHG, 3. Aufl. 2018, § 74 Rz. 3; Henssler/Strohn-Bueteroewe, Gesellschaftsrecht, 4. Aufl. 2019, § 74 GmbHG Rz. 3; BeckOK GmbHG — Lorscheider (Stand 01.05.2020), § 74 Rz. 3; Wicke, GmbHG, 4. Aufl. 2020, § 74 Rz. 2; von Rintelen, RNotZ 2017, 185 f.; Freier, NZG 2020, 812.</w:t>
      </w:r>
    </w:p>
    <w:p>
      <w:pPr>
        <w:pStyle w:val="Heading3"/>
      </w:pPr>
      <w:r>
        <w:rPr>
          <w:rFonts w:ascii="Times New Roman" w:hAnsi="Times New Roman"/>
        </w:rPr>
        <w:t>Normen</w:t>
      </w:r>
    </w:p>
    <w:p>
      <w:pPr>
        <w:pStyle w:val="ListBullet"/>
      </w:pPr>
      <w:r>
        <w:t>§§ 60, 65, 71, 73, 74 GmbHG.</w:t>
      </w:r>
    </w:p>
    <w:p>
      <w:pPr>
        <w:pStyle w:val="ListBullet"/>
      </w:pPr>
      <w:r>
        <w:t>§ 5 Abs. 2a EStG; § 3a EStG; § 11 KStG; § 1 KStG.</w:t>
      </w:r>
    </w:p>
    <w:p>
      <w:pPr>
        <w:pStyle w:val="ListBullet"/>
      </w:pPr>
      <w:r>
        <w:t>§ 6 Abs. 1 Nr. 3 EStG i.V.m. § 12 Abs. 1 BewG (Nennwert).</w:t>
      </w:r>
    </w:p>
    <w:p>
      <w:pPr>
        <w:pStyle w:val="ListBullet"/>
      </w:pPr>
      <w:r>
        <w:t>§ 397 BGB (Erlassvertrag).</w:t>
      </w:r>
    </w:p>
    <w:p>
      <w:pPr>
        <w:jc w:val="left"/>
      </w:pPr>
      <w:r>
        <w:t xml:space="preserve">Zitierweise und Quellenpruefung: </w:t>
      </w:r>
      <w:r>
        <w:t>references/zitierweise.md</w:t>
      </w:r>
      <w:r>
        <w: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Strassburger Handelshof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Strassburger Handelshof GmbH</w:t>
    </w:r>
  </w:p>
  <w:p>
    <w:pPr>
      <w:jc w:val="left"/>
      <w:pBdr>
        <w:bottom w:val="single" w:sz="6" w:space="2" w:color="7B2D3B"/>
      </w:pBdr>
    </w:pPr>
    <w:r>
      <w:rPr>
        <w:rFonts w:ascii="Times New Roman" w:hAnsi="Times New Roman"/>
        <w:color w:val="6B6B66"/>
        <w:sz w:val="16"/>
      </w:rPr>
      <w:t>HRB 188742 B AG Charlottenburg · 13 K 3006/11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