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Mandantenbrief Strassburger an Steuerberater Engelmeier</w:t>
      </w:r>
    </w:p>
    <w:p>
      <w:pPr>
        <w:jc w:val="left"/>
      </w:pPr>
      <w:r>
        <w:rPr>
          <w:b/>
        </w:rPr>
        <w:t>Absender:</w:t>
      </w:r>
      <w:r>
        <w:t xml:space="preserve"> Helene Strassburger-Wittenburg, Liquidatorin</w:t>
      </w:r>
    </w:p>
    <w:p>
      <w:pPr>
        <w:jc w:val="left"/>
      </w:pPr>
      <w:r>
        <w:rPr>
          <w:b/>
        </w:rPr>
        <w:t>Empfänger:</w:t>
      </w:r>
      <w:r>
        <w:t xml:space="preserve"> Walter Engelmeier, Steuerberater, Kanzlei Engelmeier &amp; Partner mbB, Köln</w:t>
      </w:r>
    </w:p>
    <w:p>
      <w:pPr>
        <w:jc w:val="left"/>
      </w:pPr>
      <w:r>
        <w:rPr>
          <w:b/>
        </w:rPr>
        <w:t>Datum:</w:t>
      </w:r>
      <w:r>
        <w:t xml:space="preserve"> 22.04.2026</w:t>
      </w:r>
    </w:p>
    <w:p>
      <w:pPr>
        <w:jc w:val="left"/>
      </w:pPr>
      <w:r>
        <w:rPr>
          <w:b/>
        </w:rPr>
        <w:t>Betreff:</w:t>
      </w:r>
      <w:r>
        <w:t xml:space="preserve"> Liquidation Strassburger Handelshof GmbH — steuerliche Beratung in der Krisen-Konstellation mit nachrangigem Gesellschafterdarlehen</w:t>
      </w:r>
    </w:p>
    <w:p/>
    <w:p>
      <w:pPr>
        <w:jc w:val="left"/>
      </w:pPr>
      <w:r>
        <w:t>Sehr geehrter Herr Engelmeier,</w:t>
      </w:r>
    </w:p>
    <w:p>
      <w:pPr>
        <w:jc w:val="left"/>
      </w:pPr>
      <w:r>
        <w:t>nach Auflösungsbeschluss vom 15.04.2026 (§ 60 Abs. 1 Nr. 2 GmbHG) und Bekanntmachung im Handelsregister bitte ich Sie um steuerliche Beratung zu folgenden Punkten:</w:t>
      </w:r>
    </w:p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pStyle w:val="ListBullet"/>
      </w:pPr>
      <w:r>
        <w:t>Solvente Liquidation der Strassburger Handelshof GmbH, Berlin-Charlottenburg.</w:t>
      </w:r>
    </w:p>
    <w:p>
      <w:pPr>
        <w:pStyle w:val="ListBullet"/>
      </w:pPr>
      <w:r>
        <w:t>Cashbestand 240.000 EUR, Forderungen 60.000 EUR.</w:t>
      </w:r>
    </w:p>
    <w:p>
      <w:pPr>
        <w:pStyle w:val="ListBullet"/>
      </w:pPr>
      <w:r>
        <w:t>Verbindlichkeiten gesamt 2,8 Mio. EUR — davon 2,4 Mio. EUR nachrangiges Gesellschafterdarlehen meinerseits (qualifizierter Rangrücktritt mit Tilgungsvorbehalt aus zukünftigem freien Vermögen).</w:t>
      </w:r>
    </w:p>
    <w:p>
      <w:pPr>
        <w:pStyle w:val="ListBullet"/>
      </w:pPr>
      <w:r>
        <w:t>Lieferanten 240.000 EUR und Steuerschulden 160.000 EUR werden aus dem Cashbestand vollständig befriedigt.</w:t>
      </w:r>
    </w:p>
    <w:p>
      <w:pPr>
        <w:pStyle w:val="ListBullet"/>
      </w:pPr>
      <w:r>
        <w:t>Verlustvorträge der GmbH: nicht nennenswert (Liquidationsergebnis ohne § 11 KStG-Verluste).</w:t>
      </w:r>
    </w:p>
    <w:p>
      <w:pPr>
        <w:pStyle w:val="Heading2"/>
      </w:pPr>
      <w:r>
        <w:rPr>
          <w:rFonts w:ascii="Times New Roman" w:hAnsi="Times New Roman"/>
        </w:rPr>
        <w:t>2. Konkrete Fragen</w:t>
      </w:r>
    </w:p>
    <w:p>
      <w:pPr>
        <w:jc w:val="left"/>
      </w:pPr>
      <w:r>
        <w:rPr>
          <w:b/>
        </w:rPr>
        <w:t>Frage 1:</w:t>
      </w:r>
      <w:r>
        <w:t xml:space="preserve"> Ist die nachrangige Darlehensverbindlichkeit über 2,4 Mio. EUR in der Liquidationsschlussbilanz </w:t>
      </w:r>
      <w:r>
        <w:rPr>
          <w:b/>
        </w:rPr>
        <w:t>gewinnerhöhend auszubuchen</w:t>
      </w:r>
      <w:r>
        <w:t xml:space="preserve"> oder bis zur Löschung im Handelsregister </w:t>
      </w:r>
      <w:r>
        <w:rPr>
          <w:b/>
        </w:rPr>
        <w:t>passiviert auszuweisen</w:t>
      </w:r>
      <w:r>
        <w:t>?</w:t>
      </w:r>
    </w:p>
    <w:p>
      <w:pPr>
        <w:jc w:val="left"/>
      </w:pPr>
      <w:r>
        <w:rPr>
          <w:b/>
        </w:rPr>
        <w:t>Frage 2:</w:t>
      </w:r>
      <w:r>
        <w:t xml:space="preserve"> Falls Ausbuchung gefordert wird — kommt § 3a EStG (Steuerbefreiung Sanierungsertrag) in der Konstellation solvente Liquidation überhaupt zur Anwendung? Insbesondere die Voraussetzung </w:t>
      </w:r>
      <w:r>
        <w:rPr>
          <w:b/>
        </w:rPr>
        <w:t>Sanierungseignung</w:t>
      </w:r>
      <w:r>
        <w:t xml:space="preserve"> scheint mir nicht erfüllt, weil die Gesellschaft nicht saniert, sondern abgewickelt wird.</w:t>
      </w:r>
    </w:p>
    <w:p>
      <w:pPr>
        <w:jc w:val="left"/>
      </w:pPr>
      <w:r>
        <w:rPr>
          <w:b/>
        </w:rPr>
        <w:t>Frage 3:</w:t>
      </w:r>
      <w:r>
        <w:t xml:space="preserve"> Welche </w:t>
      </w:r>
      <w:r>
        <w:rPr>
          <w:b/>
        </w:rPr>
        <w:t>verbindliche Auskunft § 89 AO</w:t>
      </w:r>
      <w:r>
        <w:t xml:space="preserve"> sollten wir beim Finanzamt Berlin-Charlottenburg einholen? Welche Sachverhalts-Gestaltung und Rechtsfrage formulieren?</w:t>
      </w:r>
    </w:p>
    <w:p>
      <w:pPr>
        <w:jc w:val="left"/>
      </w:pPr>
      <w:r>
        <w:rPr>
          <w:b/>
        </w:rPr>
        <w:t>Frage 4:</w:t>
      </w:r>
      <w:r>
        <w:t xml:space="preserve"> Was passiert auf meiner </w:t>
      </w:r>
      <w:r>
        <w:rPr>
          <w:b/>
        </w:rPr>
        <w:t>Privatebene</w:t>
      </w:r>
      <w:r>
        <w:t xml:space="preserve"> mit dem Auflösungsverlust gemäß § 17 EStG / § 17 Abs. 4 EStG (nachträgliche Anschaffungskosten)?</w:t>
      </w:r>
    </w:p>
    <w:p>
      <w:pPr>
        <w:jc w:val="left"/>
      </w:pPr>
      <w:r>
        <w:rPr>
          <w:b/>
        </w:rPr>
        <w:t>Frage 5:</w:t>
      </w:r>
      <w:r>
        <w:t xml:space="preserve"> Falls die Verbindlichkeit über die Löschung hinaus passiviert bleibt: erlöschen die Verbindlichkeiten und (theoretischen) Verlustvorträge wirklich gleichzeitig mit der Löschung? Wie ist die Rechtsprechung zur Frage „Sanierungsgewinn mangels Steuersubjekt"?</w:t>
      </w:r>
    </w:p>
    <w:p>
      <w:pPr>
        <w:pStyle w:val="Heading2"/>
      </w:pPr>
      <w:r>
        <w:rPr>
          <w:rFonts w:ascii="Times New Roman" w:hAnsi="Times New Roman"/>
        </w:rPr>
        <w:t>3. Mir bekannte Rechtsprechung und Verwaltung</w:t>
      </w:r>
    </w:p>
    <w:p>
      <w:pPr>
        <w:jc w:val="left"/>
      </w:pPr>
      <w:r>
        <w:t>Vorab habe ich folgende Quellen recherchiert (kann gerne in Ihrer Stellungnahme bestätigt oder korrigiert werden):</w:t>
      </w:r>
    </w:p>
    <w:p>
      <w:pPr>
        <w:pStyle w:val="ListBullet"/>
      </w:pPr>
      <w:r>
        <w:rPr>
          <w:b/>
        </w:rPr>
        <w:t>BFH, Urteil vom 19.08.2020 — XI R 32/18, BStBl. II 2021, 279</w:t>
      </w:r>
      <w:r>
        <w:t xml:space="preserve"> zur Anwendung des § 5 Abs. 2a EStG bei qualifiziertem Rangrücktritt.</w:t>
      </w:r>
    </w:p>
    <w:p>
      <w:pPr>
        <w:pStyle w:val="ListBullet"/>
      </w:pPr>
      <w:r>
        <w:rPr>
          <w:b/>
        </w:rPr>
        <w:t>FG Köln, Urteil vom 06.03.2012 — 13 K 3006/11, GmbHR 2012, 977</w:t>
      </w:r>
      <w:r>
        <w:t xml:space="preserve"> (vorgehend zu BFH I R 34/12) zur Liquidation einer GmbH mit nachrangigen Darlehen — kein steuerpflichtiger Gewinn, weil Rangrücktritt nicht als konkludenter Verzicht zu werten ist und mit Erlöschen der GmbH auch die Verbindlichkeit erlischt.</w:t>
      </w:r>
    </w:p>
    <w:p>
      <w:pPr>
        <w:pStyle w:val="ListBullet"/>
      </w:pPr>
      <w:r>
        <w:rPr>
          <w:b/>
        </w:rPr>
        <w:t>BFH, Urteil vom 05.02.2014 — I R 34/12, BFH/NV 2014, 1014</w:t>
      </w:r>
      <w:r>
        <w:t xml:space="preserve"> — Rechtsauffassung „Verbindlichkeit nicht zu passivieren mangels wirtschaftlicher Belastung" als „nicht evident rechtsfehlerhaft" bestätigt.</w:t>
      </w:r>
    </w:p>
    <w:p>
      <w:pPr>
        <w:pStyle w:val="ListBullet"/>
      </w:pPr>
      <w:r>
        <w:rPr>
          <w:b/>
        </w:rPr>
        <w:t>OFD Frankfurt a. M., Rundverfügung vom 26.07.2021 — S 2743 A-12-St 523</w:t>
      </w:r>
      <w:r>
        <w:t xml:space="preserve"> (Tz. 1.2-1.4) zur Verwaltungsauffassung: Liquidationsbeschluss kein konkludenter Verzicht; Passivierung grundsätzlich aufrechtzuerhalten; Einzelfallprüfung.</w:t>
      </w:r>
    </w:p>
    <w:p>
      <w:pPr>
        <w:pStyle w:val="ListBullet"/>
      </w:pPr>
      <w:r>
        <w:rPr>
          <w:b/>
        </w:rPr>
        <w:t>§ 11 KStG</w:t>
      </w:r>
      <w:r>
        <w:t xml:space="preserve"> zur Liquidationsbesteuerung (drei-Jahres-Höchstdauer).</w:t>
      </w:r>
    </w:p>
    <w:p>
      <w:pPr>
        <w:pStyle w:val="ListBullet"/>
      </w:pPr>
      <w:r>
        <w:rPr>
          <w:b/>
        </w:rPr>
        <w:t>§ 3a EStG / § 7b GewStG</w:t>
      </w:r>
      <w:r>
        <w:t xml:space="preserve"> zur Steuerbefreiung Sanierungsertrag.</w:t>
      </w:r>
    </w:p>
    <w:p>
      <w:pPr>
        <w:pStyle w:val="Heading2"/>
      </w:pPr>
      <w:r>
        <w:rPr>
          <w:rFonts w:ascii="Times New Roman" w:hAnsi="Times New Roman"/>
        </w:rPr>
        <w:t>4. Bitte um Stellungnahme</w:t>
      </w:r>
    </w:p>
    <w:p>
      <w:pPr>
        <w:jc w:val="left"/>
      </w:pPr>
      <w:r>
        <w:t>Bitte teilen Sie mir Ihre Einschätzung zu den oben genannten fünf Fragen mit. Soweit Sie eine verbindliche Auskunft beim Finanzamt empfehlen, bitte ich um Aufsetzung des Antrags inklusive Sachverhalts-Darstellung und Rechtsfrage-Formulierung. Die Gebühr nach § 89 Abs. 3-5 AO trage ich.</w:t>
      </w:r>
    </w:p>
    <w:p>
      <w:pPr>
        <w:jc w:val="left"/>
      </w:pPr>
      <w:r>
        <w:t>Vor Antragstellung der verbindlichen Auskunft möchte ich gerne ein persönliches Gespräch mit Ihnen führen — gerne in Ihrem Büro in Köln in der Woche vom 28.04.2026 bis 02.05.2026.</w:t>
      </w:r>
    </w:p>
    <w:p>
      <w:pPr>
        <w:jc w:val="left"/>
      </w:pPr>
      <w:r>
        <w:t>Mit freundlichen Grüßen</w:t>
      </w:r>
    </w:p>
    <w:p>
      <w:pPr>
        <w:jc w:val="left"/>
      </w:pPr>
      <w:r>
        <w:t>Helene Strassburger-Wittenburg</w:t>
      </w:r>
    </w:p>
    <w:p>
      <w:pPr>
        <w:jc w:val="left"/>
      </w:pPr>
      <w:r>
        <w:t>Liquidatorin</w:t>
      </w:r>
    </w:p>
    <w:p>
      <w:pPr>
        <w:jc w:val="left"/>
      </w:pPr>
      <w:r>
        <w:t>Strassburger Handelshof GmbH i. L.</w:t>
      </w:r>
    </w:p>
    <w:p>
      <w:pPr>
        <w:jc w:val="left"/>
      </w:pPr>
      <w:r>
        <w:t>Kantstraße 144, 10623 Berlin</w:t>
      </w:r>
    </w:p>
    <w:p/>
    <w:p>
      <w:pPr>
        <w:pStyle w:val="Heading2"/>
      </w:pPr>
      <w:r>
        <w:rPr>
          <w:rFonts w:ascii="Times New Roman" w:hAnsi="Times New Roman"/>
        </w:rPr>
        <w:t>Interner Vermerk Steuerberater (nicht versendet)</w:t>
      </w:r>
    </w:p>
    <w:p>
      <w:pPr>
        <w:jc w:val="left"/>
      </w:pPr>
      <w:r>
        <w:t>Stand 24.04.2026, Engelmeier:</w:t>
      </w:r>
    </w:p>
    <w:p>
      <w:pPr>
        <w:pStyle w:val="ListBullet"/>
      </w:pPr>
      <w:r>
        <w:t>Schwerpunkt der Beratung: § 5 Abs. 2a EStG Anwendung in Liquidationsphase trotz Rangrücktritts-Tilgungsvorbehalt prüfen. BFH XI R 32/18 hat die Frage „Schlussstein"-artig behandelt — wir bleiben m. E. außerhalb des Anwendungsbereichs, solange die Tilgung nicht ausschließlich aus zukünftigen freien Gewinnen vereinbart ist (hier: auch aus „freiem Vermögen" — also nicht zwingend Gewinne).</w:t>
      </w:r>
    </w:p>
    <w:p>
      <w:pPr>
        <w:pStyle w:val="ListBullet"/>
      </w:pPr>
      <w:r>
        <w:t xml:space="preserve">Empfehlung an Mandantin: </w:t>
      </w:r>
      <w:r>
        <w:rPr>
          <w:b/>
        </w:rPr>
        <w:t>verbindliche Auskunft § 89 AO</w:t>
      </w:r>
      <w:r>
        <w:t xml:space="preserve"> beim FA Charlottenburg vor Aufstellung der Liquidationsschlussbilanz.</w:t>
      </w:r>
    </w:p>
    <w:p>
      <w:pPr>
        <w:pStyle w:val="ListBullet"/>
      </w:pPr>
      <w:r>
        <w:t>Rechtsfrage 1: Ist die nachrangige Darlehensverbindlichkeit gegenüber der Gesellschafterin in der Liquidationsschlussbilanz zu passivieren?</w:t>
      </w:r>
    </w:p>
    <w:p>
      <w:pPr>
        <w:pStyle w:val="ListBullet"/>
      </w:pPr>
      <w:r>
        <w:t>Rechtsfrage 2: Hilfsweise — wenn ja zu Auswartung, ist § 3a EStG anwendbar?</w:t>
      </w:r>
    </w:p>
    <w:p>
      <w:pPr>
        <w:pStyle w:val="ListBullet"/>
      </w:pPr>
      <w:r>
        <w:t>Erwartete FA-Position: nach OFD Frankfurt 26.07.2021 grundsätzlich Passivierung — aber „Einzelfallprüfung". Wir argumentieren mit BFH I R 34/12 und FG Köln 13 K 3006/11 für Passivierung bis Löschung.</w:t>
      </w:r>
    </w:p>
    <w:p>
      <w:pPr>
        <w:pStyle w:val="ListBullet"/>
      </w:pPr>
      <w:r>
        <w:t>Risiko: FA verlangt Ausbuchung in Schlussbilanz und versagt § 3a EStG mangels Sanierungseignung. Dann steuerpflichtiger Gewinn 2,4 Mio. EUR ohne Verlustvortrag, KSt + SolZ + GewSt ca. 720.000 EUR. Mandantin als Liquidatorin haftet § 11 III KStG ggf. unter Voraussetzungen.</w:t>
      </w:r>
    </w:p>
    <w:p>
      <w:pPr>
        <w:pStyle w:val="ListBullet"/>
      </w:pPr>
      <w:r>
        <w:t>Vermeidung: Liquidationsdauer planen, sodass innerhalb des § 11 KStG-3-Jahres-Zeitraums die Löschung erfolgt. Vor Löschung müssen alle Steuerverfahren geklärt sein (vgl. OLG Hamm 27 W 25/21, BGH II ZB 1/21).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Steuerberater Engelmeier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STEUERBERATER ENGELMEIER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