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Erstgespräch</w:t>
      </w:r>
    </w:p>
    <w:p>
      <w:pPr>
        <w:jc w:val="left"/>
      </w:pPr>
      <w:r>
        <w:t>Datum: 28.11.2024, 14:00–16:30 Uhr</w:t>
      </w:r>
    </w:p>
    <w:p>
      <w:pPr>
        <w:jc w:val="left"/>
      </w:pPr>
      <w:r>
        <w:t>Mandantin: Hanna Trüffelberch, geb. Ürgelheim, 44 Jahre, Architektin</w:t>
      </w:r>
    </w:p>
    <w:p>
      <w:pPr>
        <w:jc w:val="left"/>
      </w:pPr>
      <w:r>
        <w:t>Kanzleinotiz: RAin Dr. Friederike Pohl-Krauss, Fachanwältin Familienrecht</w:t>
      </w:r>
    </w:p>
    <w:p>
      <w:pPr>
        <w:jc w:val="left"/>
      </w:pPr>
      <w:r>
        <w:t>Kanzlei: Klotzkette Rechtsanwaltsgesellschaft mbH, Friedrichstraße 74, 10117 Berlin</w:t>
      </w:r>
    </w:p>
    <w:p>
      <w:pPr>
        <w:jc w:val="left"/>
      </w:pPr>
      <w:r>
        <w:t>Kooperationsanwältin (Hannover): RAin Sabine Helmstedt, Marktstraße 12, 30159 Hannover</w:t>
      </w:r>
    </w:p>
    <w:p/>
    <w:p>
      <w:pPr>
        <w:pStyle w:val="Heading2"/>
      </w:pPr>
      <w:r>
        <w:rPr>
          <w:rFonts w:ascii="Times New Roman" w:hAnsi="Times New Roman"/>
        </w:rPr>
        <w:t>Zur Person</w:t>
      </w:r>
    </w:p>
    <w:p>
      <w:pPr>
        <w:jc w:val="left"/>
      </w:pPr>
      <w:r>
        <w:t>Hanna Trüffelberch erscheint pünktlich und merklich erschöpft. Sie bringt eine geordnete Mappe mit Dokumenten sowie ein vorbereitetes Deckblatt „Trennungsunterlagen" mit — sie ist erkennbar gewohnt, strukturiert zu arbeiten. Sie ist Architektin und Mitinhaberin der „Trüffelberch &amp; Ürgelheim Architekturpartnerschaft PartGmbB" in Hannover-Linden, rd. 18 Mitarbeiter. Die Kanzlei wurde ihr durch eine Bekannte empfohlen.</w:t>
      </w:r>
    </w:p>
    <w:p>
      <w:pPr>
        <w:jc w:val="left"/>
      </w:pPr>
      <w:r>
        <w:t>Sie ist 44 Jahre alt, geboren in Hannover. Ihr Ehemann Franz Trüffelberch, 47, ist seit 14.11.2024 ausgezogen. Sie trägt die Entscheidung, rechtliche Schritte einzuleiten, erkennbar schwer. Der Entschluss, Anwältin zu beauftragen, fiel ihr schwer; sie betonte mehrfach, die Kinder kämen über alles.</w:t>
      </w:r>
    </w:p>
    <w:p/>
    <w:p>
      <w:pPr>
        <w:pStyle w:val="Heading2"/>
      </w:pPr>
      <w:r>
        <w:rPr>
          <w:rFonts w:ascii="Times New Roman" w:hAnsi="Times New Roman"/>
        </w:rPr>
        <w:t>Sachverhaltsaufnahme</w:t>
      </w:r>
    </w:p>
    <w:p>
      <w:pPr>
        <w:pStyle w:val="Heading3"/>
      </w:pPr>
      <w:r>
        <w:rPr>
          <w:rFonts w:ascii="Times New Roman" w:hAnsi="Times New Roman"/>
        </w:rPr>
        <w:t>Ehe und Trennung</w:t>
      </w:r>
    </w:p>
    <w:p>
      <w:pPr>
        <w:jc w:val="left"/>
      </w:pPr>
      <w:r>
        <w:t>Heirat am 12.08.2008 in Hannover. Kein Ehevertrag. Drei gemeinsame Kinder: Mara (geb. 2009, 15 Jahre, Klasse 10, Gymnasium Linden), Jonas (geb. 2012, 12 Jahre, Klasse 6), Lina (geb. 2015, 9 Jahre, Klasse 4). Alle drei leben weiterhin mit Hanna in der gemeinsamen Immobilie, Lindener Hofstraße 47, 30449 Hannover-Linden.</w:t>
      </w:r>
    </w:p>
    <w:p>
      <w:pPr>
        <w:jc w:val="left"/>
      </w:pPr>
      <w:r>
        <w:t>Franz Trüffelberch hat am 14.11.2024 die Hauptwohnung verlassen und ist in eine Mietwohnung in Hannover-Bothfeld gezogen (Adresse lt. Mandantin: Burgweg 38, 30655 Hannover-Bothfeld — noch nicht verifiziert). Er ist selbstständig als Inhaber der „Trüffelberch Holzwerkstätten e.K." in Hannover, gegründet 2018.</w:t>
      </w:r>
    </w:p>
    <w:p>
      <w:pPr>
        <w:pStyle w:val="Heading3"/>
      </w:pPr>
      <w:r>
        <w:rPr>
          <w:rFonts w:ascii="Times New Roman" w:hAnsi="Times New Roman"/>
        </w:rPr>
        <w:t>Anlass der Trennung</w:t>
      </w:r>
    </w:p>
    <w:p>
      <w:pPr>
        <w:jc w:val="left"/>
      </w:pPr>
      <w:r>
        <w:t>Hanna entdeckte in der zweiten Novemberwoche 2024 auf dem gemeinsam genutzten Familien-iPad (Kind hatte kurz ihr Handy zum Spielen gegeben, Autosynchro aktiv) Nachrichten zwischen Franz und einer Frau namens „S." — nach dem Ton und Inhalt handelt es sich nach Einschätzung Hannas um eine romantisch-sexuelle Beziehung. Aus den Nachrichten ergibt sich der Beginn im Sommer 2024. Hanna stellte Franz am 13.11.2024 zur Rede. Franz bestritt zunächst, räumte auf Nachfrage „ein engeres Verhältnis" ein. Tags darauf bat er, ausziehen zu dürfen. Hanna stimmte zu.</w:t>
      </w:r>
    </w:p>
    <w:p>
      <w:pPr>
        <w:jc w:val="left"/>
      </w:pPr>
      <w:r>
        <w:t>Hanna bezeichnet die Affäre als Hauptauslöser der Trennung, ist aber nüchtern genug zu wissen, dass die Ehe bereits vorher unter dem Stress der unterschiedlichen beruflichen Entwicklung gelitten habe.</w:t>
      </w:r>
    </w:p>
    <w:p>
      <w:pPr>
        <w:pStyle w:val="Heading3"/>
      </w:pPr>
      <w:r>
        <w:rPr>
          <w:rFonts w:ascii="Times New Roman" w:hAnsi="Times New Roman"/>
        </w:rPr>
        <w:t>Kinder und Betreuung</w:t>
      </w:r>
    </w:p>
    <w:p>
      <w:pPr>
        <w:jc w:val="left"/>
      </w:pPr>
      <w:r>
        <w:t>Die drei Kinder sind bei Hanna. Franz hat bisher alle 14 Tage das Wochenende mit den Kindern verbracht (Freitag nach Schulschluss bis Sonntag 18:00 Uhr), außerdem regelmäßig mittwochs abends. Er holt die Kinder bei Hanna ab. Der Alltag liegt vollständig bei Hanna: Schule, Arzttermine, Hobbys, Hausaufgaben.</w:t>
      </w:r>
    </w:p>
    <w:p>
      <w:pPr>
        <w:jc w:val="left"/>
      </w:pPr>
      <w:r>
        <w:t>Franz verlangt nach Angabe der Mandantin seit Mitte November ein Wechselmodell 50/50. Hanna ist damit ausdrücklich nicht einverstanden. Sie begründet das mit der ungleichen Alltagsverantwortung in der Ehe, den Schulrhythmen, der emotionalen Situation der Kinder und — seit Ende Februar 2025 — mit einem konkreten Vorfallshinweis bezüglich Alkohol (dazu unten).</w:t>
      </w:r>
    </w:p>
    <w:p>
      <w:pPr>
        <w:pStyle w:val="Heading3"/>
      </w:pPr>
      <w:r>
        <w:rPr>
          <w:rFonts w:ascii="Times New Roman" w:hAnsi="Times New Roman"/>
        </w:rPr>
        <w:t>Alkohol / Kindeswohlaspekt</w:t>
      </w:r>
    </w:p>
    <w:p>
      <w:pPr>
        <w:jc w:val="left"/>
      </w:pPr>
      <w:r>
        <w:t>Hanna erwähnt einen Vorfall vom 22.02.2025: Alle drei Kinder kamen nach einem Wochenende bei Franz sichtlich „verstört" (Hannas Wort) nach Hause. Lina weinte beim Aussteigen, Jonas war einsilbig. Mara erzählte Hanna, der Vater sei am Samstagabend „komisch" gewesen — unsicherer Gang, laute Stimme, sei irgendwann eingeschlafen. Die Kinder hatten sich bei Mara in deren Zimmer verbarrikadiert. Hanna spricht nicht von Gewalt. Mara hat die Schilderung einige Tage später auch einer Klassenlehrerin erzählt; die Lehrerin hat die Schulpsychologie informiert.</w:t>
      </w:r>
    </w:p>
    <w:p>
      <w:pPr>
        <w:jc w:val="left"/>
      </w:pPr>
      <w:r>
        <w:t>Hanna hat am 03.03.2025 beim Jugendamt Hannover-Linden eine formlose Meldung eingereicht. Ein Gespräch mit dem Jugendamt ist für Anfang März geplant.</w:t>
      </w:r>
    </w:p>
    <w:p>
      <w:pPr>
        <w:pStyle w:val="Heading3"/>
      </w:pPr>
      <w:r>
        <w:rPr>
          <w:rFonts w:ascii="Times New Roman" w:hAnsi="Times New Roman"/>
        </w:rPr>
        <w:t>Vermögenslage (erste Angaben)</w:t>
      </w:r>
    </w:p>
    <w:p>
      <w:pPr>
        <w:pStyle w:val="ListBullet"/>
      </w:pPr>
      <w:r>
        <w:t>Gemeinsames Haus: Lindener Hofstraße 47, Eigentümer je 1/2, Wert nach erster Sachverständigenschätzung rd. 920.000 EUR, Restdarlehen rd. 280.000 EUR (Volksbank Hannover). Hanna möchte das Haus halten, die Kinder sollen nicht umziehen müssen.</w:t>
      </w:r>
    </w:p>
    <w:p>
      <w:pPr>
        <w:pStyle w:val="ListBullet"/>
      </w:pPr>
      <w:r>
        <w:t>Architekturbüro PartGmbB: Hanna als Mitinhaberin mit ihrer Schwester Anne Ürgelheim (je 50 % Gesellschafteranteile). Hanna hat ein erstes Bewertungsgespräch mit dem Steuerberater der Kanzlei geführt; der Unternehmenswert liegt nach deren Einschätzung bei mindestens 1,2–1,5 Mio. EUR.</w:t>
      </w:r>
    </w:p>
    <w:p>
      <w:pPr>
        <w:pStyle w:val="ListBullet"/>
      </w:pPr>
      <w:r>
        <w:t>Franz' Holzwerkstätten: 2018 gegründet, während der Ehe. Jahresumsatz nach Angabe Hannas zuletzt rd. 1,1 Mio. EUR, Gewinn „deutlich schwankend".</w:t>
      </w:r>
    </w:p>
    <w:p>
      <w:pPr>
        <w:pStyle w:val="ListBullet"/>
      </w:pPr>
      <w:r>
        <w:t>BAV: Hanna hat eine Betriebsrentenanwartschaft über das Versorgungswerk der Architektenkammer Niedersachsen (nicht NRW — Hanna korrigiert im Gespräch auf NDS). Anwartschaft noch nicht beziffert.</w:t>
      </w:r>
    </w:p>
    <w:p>
      <w:pPr>
        <w:pStyle w:val="ListBullet"/>
      </w:pPr>
      <w:r>
        <w:t>Gesetzliche Rentenversicherung: beide versichert.</w:t>
      </w:r>
    </w:p>
    <w:p>
      <w:pPr>
        <w:pStyle w:val="ListBullet"/>
      </w:pPr>
      <w:r>
        <w:t>Bausparvertrag, gemeinsame Konten, Depot.</w:t>
      </w:r>
    </w:p>
    <w:p>
      <w:pPr>
        <w:pStyle w:val="Heading3"/>
      </w:pPr>
      <w:r>
        <w:rPr>
          <w:rFonts w:ascii="Times New Roman" w:hAnsi="Times New Roman"/>
        </w:rPr>
        <w:t>Unterhalt</w:t>
      </w:r>
    </w:p>
    <w:p>
      <w:pPr>
        <w:jc w:val="left"/>
      </w:pPr>
      <w:r>
        <w:t>Hanna verdient als Inhaberin der PartGmbB ca. 8.400 EUR/Monat netto (Kombination Inhaberentnahme + Geschäftsführergehalt, variabel). Franz nach eigener Aussage (Hanna aus Gesprächen) ca. 3.100 EUR netto.</w:t>
      </w:r>
    </w:p>
    <w:p>
      <w:pPr>
        <w:jc w:val="left"/>
      </w:pPr>
      <w:r>
        <w:t>Trennungsunterhalt: Hanna hat keinen Bedarf, aber eine eventuelle Umkehrsituation ist zu prüfen (Franz gegen Hanna?).</w:t>
      </w:r>
    </w:p>
    <w:p>
      <w:pPr>
        <w:pStyle w:val="Heading3"/>
      </w:pPr>
      <w:r>
        <w:rPr>
          <w:rFonts w:ascii="Times New Roman" w:hAnsi="Times New Roman"/>
        </w:rPr>
        <w:t>Personenstand Mara / SBGG</w:t>
      </w:r>
    </w:p>
    <w:p>
      <w:pPr>
        <w:jc w:val="left"/>
      </w:pPr>
      <w:r>
        <w:t>Mara, 15 Jahre, hat Hanna schon vor einigen Monaten erklärt, sich nicht als Mädchen zu identifizieren. Hanna unterstützt das offen. Im Sommer 2025 soll Mara einen Antrag nach dem Selbstbestimmungsgesetz (SBGG) stellen wollen. Franz weiß davon und hat nach Angabe Hannas gesagt, er werde das „nicht unterschreiben" und wolle Hanna notfalls „das Sorgerecht entziehen". Diese Formulierung hat Hanna stark aufgebracht.</w:t>
      </w:r>
    </w:p>
    <w:p/>
    <w:p>
      <w:pPr>
        <w:pStyle w:val="Heading2"/>
      </w:pPr>
      <w:r>
        <w:rPr>
          <w:rFonts w:ascii="Times New Roman" w:hAnsi="Times New Roman"/>
        </w:rPr>
        <w:t>Mandantenziele</w:t>
      </w:r>
    </w:p>
    <w:p>
      <w:pPr>
        <w:pStyle w:val="ListNumber"/>
      </w:pPr>
      <w:r>
        <w:t>Sorge und Umgang klären: Hanna will Residenzmodell behalten, Franz erweitertes Umgangsrecht (14-tägig + Mittwoch).</w:t>
      </w:r>
    </w:p>
    <w:p>
      <w:pPr>
        <w:pStyle w:val="ListNumber"/>
      </w:pPr>
      <w:r>
        <w:t>Kindeswohlaspekt Alkohol: Klärung, ob einstweilige Anordnung notwendig.</w:t>
      </w:r>
    </w:p>
    <w:p>
      <w:pPr>
        <w:pStyle w:val="ListNumber"/>
      </w:pPr>
      <w:r>
        <w:t>Scheidung: Hanna möchte Scheidungsantrag Anfang 2026 einreichen (Trennungsjahr endet ca. November 2025).</w:t>
      </w:r>
    </w:p>
    <w:p>
      <w:pPr>
        <w:pStyle w:val="ListNumber"/>
      </w:pPr>
      <w:r>
        <w:t>Vermögen: Haus halten (Zukauf Franz' Anteil), Zugewinnausgleich klären, keine Zerschlagung des Büros.</w:t>
      </w:r>
    </w:p>
    <w:p>
      <w:pPr>
        <w:pStyle w:val="ListNumber"/>
      </w:pPr>
      <w:r>
        <w:t>SBGG / Mara: Franz' Zustimmung soll rechtlich bewertet werden.</w:t>
      </w:r>
    </w:p>
    <w:p>
      <w:pPr>
        <w:pStyle w:val="ListNumber"/>
      </w:pPr>
      <w:r>
        <w:t>Ruhe für die Kinder: keine Eskalation.</w:t>
      </w:r>
    </w:p>
    <w:p/>
    <w:p>
      <w:pPr>
        <w:pStyle w:val="Heading2"/>
      </w:pPr>
      <w:r>
        <w:rPr>
          <w:rFonts w:ascii="Times New Roman" w:hAnsi="Times New Roman"/>
        </w:rPr>
        <w:t>Sofortmaßnahmen</w:t>
      </w:r>
    </w:p>
    <w:p>
      <w:pPr>
        <w:pStyle w:val="ListBullet"/>
      </w:pPr>
      <w:r>
        <w:t>Mandatsvertrag und Vollmacht heute übergeben. ✓</w:t>
      </w:r>
    </w:p>
    <w:p>
      <w:pPr>
        <w:pStyle w:val="ListBullet"/>
      </w:pPr>
      <w:r>
        <w:t>Kontakt zu RAin Helmstedt (Hannover) aufnehmen — ortskundige Kooperation für Termine beim Familiengericht Hannover.</w:t>
      </w:r>
    </w:p>
    <w:p>
      <w:pPr>
        <w:pStyle w:val="ListBullet"/>
      </w:pPr>
      <w:r>
        <w:t>Sorgerecht und Umgang: vorläufige schriftliche Festhaltung des Status quo sinnvoll.</w:t>
      </w:r>
    </w:p>
    <w:p>
      <w:pPr>
        <w:pStyle w:val="ListBullet"/>
      </w:pPr>
      <w:r>
        <w:t>Jugendamt Hannover: Mandantin soll Kontakt protokollieren, Kanzlei erhält Vollmacht zur Korrespondenz.</w:t>
      </w:r>
    </w:p>
    <w:p>
      <w:pPr>
        <w:pStyle w:val="ListBullet"/>
      </w:pPr>
      <w:r>
        <w:t>Wirtschaftsgutachter für Architekturbüro benennen (Hinweis: Bewertung muss Goodwill vs. Substanz trennen, da Schwester Mitgesellschafterin).</w:t>
      </w:r>
    </w:p>
    <w:p>
      <w:pPr>
        <w:pStyle w:val="ListBullet"/>
      </w:pPr>
      <w:r>
        <w:t>Nächster Besprechungstermin: 12.12.2024, 11:00 Uhr (Telefon, RAin Helmstedt zugeschaltet).</w:t>
      </w:r>
    </w:p>
    <w:p/>
    <w:p>
      <w:pPr>
        <w:jc w:val="left"/>
      </w:pPr>
      <w:r>
        <w:t>Notiz Dr. Pohl-Krauss, 28.11.2024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Fachanwältin Familienrecht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FACHANWÄLTIN FAMILIENRECHT</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