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Roher Entwurf einer Klage (Selbstvertreter)</w:t>
      </w:r>
    </w:p>
    <w:p>
      <w:pPr>
        <w:jc w:val="left"/>
      </w:pPr>
      <w:r>
        <w:t>Entwurf von Frau Hohenstaufen am 26./27. Mai 2026, basierend auf einem Internet-Vorlagengenerator und einer Mustervorlage aus einem Ratgeberbuch ihrer Mutter aus 2007. Noch nicht eingereicht. Schwächen sind bewusst stehen geblieben, damit das Plugin sie identifizieren kann.</w:t>
      </w:r>
    </w:p>
    <w:p/>
    <w:p>
      <w:pPr>
        <w:jc w:val="left"/>
      </w:pPr>
      <w:r>
        <w:rPr>
          <w:b/>
        </w:rPr>
        <w:t>An das Amtsgericht Hannover</w:t>
      </w:r>
    </w:p>
    <w:p>
      <w:pPr>
        <w:jc w:val="left"/>
      </w:pPr>
      <w:r>
        <w:t>Volgersweg 1, 30175 Hannover</w:t>
      </w:r>
    </w:p>
    <w:p>
      <w:pPr>
        <w:pStyle w:val="Heading2"/>
      </w:pPr>
      <w:r>
        <w:rPr>
          <w:rFonts w:ascii="Times New Roman" w:hAnsi="Times New Roman"/>
        </w:rPr>
        <w:t>Parteien</w:t>
      </w:r>
    </w:p>
    <w:p>
      <w:pPr>
        <w:jc w:val="left"/>
      </w:pPr>
      <w:r>
        <w:rPr>
          <w:b/>
        </w:rPr>
        <w:t>Klägerin:</w:t>
      </w:r>
    </w:p>
    <w:p>
      <w:pPr>
        <w:jc w:val="left"/>
      </w:pPr>
      <w:r>
        <w:t>Mara Hohenstaufen, Hildesheimer Straße 188, 30519 Hannover</w:t>
      </w:r>
    </w:p>
    <w:p>
      <w:pPr>
        <w:jc w:val="left"/>
      </w:pPr>
      <w:r>
        <w:rPr>
          <w:b/>
        </w:rPr>
        <w:t>Beklagte:</w:t>
      </w:r>
    </w:p>
    <w:p>
      <w:pPr>
        <w:jc w:val="left"/>
      </w:pPr>
      <w:r>
        <w:t>Tischlerei Braun &amp; Sohn GbR, Am Werkhof 14, 30453 Hannover</w:t>
      </w:r>
    </w:p>
    <w:p>
      <w:pPr>
        <w:pStyle w:val="Heading2"/>
      </w:pPr>
      <w:r>
        <w:rPr>
          <w:rFonts w:ascii="Times New Roman" w:hAnsi="Times New Roman"/>
        </w:rPr>
        <w:t>Antrag</w:t>
      </w:r>
    </w:p>
    <w:p>
      <w:pPr>
        <w:jc w:val="left"/>
      </w:pPr>
      <w:r>
        <w:t>Ich beantrage, dass die Tischlerei mir mein Geld zurückgibt, den Tisch abholt und keinen weiteren Stress macht. Außerdem soll die Restforderung von 620 EUR plus Mahnkosten wegfallen. Auch die Inkassoandrohung soll zurückgenommen werden.</w:t>
      </w:r>
    </w:p>
    <w:p>
      <w:pPr>
        <w:jc w:val="left"/>
      </w:pPr>
      <w:r>
        <w:t>Vorsorglich beantrage ich zusätzlich:</w:t>
      </w:r>
    </w:p>
    <w:p>
      <w:pPr>
        <w:pStyle w:val="ListBullet"/>
      </w:pPr>
      <w:r>
        <w:t>Zahlung von 620,00 EUR.</w:t>
      </w:r>
    </w:p>
    <w:p>
      <w:pPr>
        <w:pStyle w:val="ListBullet"/>
      </w:pPr>
      <w:r>
        <w:t>Zahlung von 89,00 EUR für einen Ersatztisch aus dem Baumarkt.</w:t>
      </w:r>
    </w:p>
    <w:p>
      <w:pPr>
        <w:pStyle w:val="ListBullet"/>
      </w:pPr>
      <w:r>
        <w:t>Zahlung von 300,00 EUR für Ärger, Zeit und Telefonate.</w:t>
      </w:r>
    </w:p>
    <w:p>
      <w:pPr>
        <w:pStyle w:val="ListBullet"/>
      </w:pPr>
      <w:r>
        <w:t>Feststellung, dass ich die restlichen 620,00 EUR und die 35,00 EUR Bearbeitungspauschale nicht zahlen muss.</w:t>
      </w:r>
    </w:p>
    <w:p>
      <w:pPr>
        <w:pStyle w:val="Heading2"/>
      </w:pPr>
      <w:r>
        <w:rPr>
          <w:rFonts w:ascii="Times New Roman" w:hAnsi="Times New Roman"/>
        </w:rPr>
        <w:t>Begründung</w:t>
      </w:r>
    </w:p>
    <w:p>
      <w:pPr>
        <w:jc w:val="left"/>
      </w:pPr>
      <w:r>
        <w:t>Ich habe einen Tisch bestellt, der in Ordnung sein sollte. Er ist aber nicht in Ordnung. Die Firma sagt einfach, das sei normal, obwohl das nicht stimmt. Der Tisch wackelt sehr. Die Platte ist beschädigt. Ich habe bereits 620 EUR bezahlt. Die Anzahlung war am 13. Februar 2026, die Lieferung am 18. April 2026, also viel später als versprochen. Bei der Lieferung waren schon Schäden sichtbar.</w:t>
      </w:r>
    </w:p>
    <w:p>
      <w:pPr>
        <w:jc w:val="left"/>
      </w:pPr>
      <w:r>
        <w:t>Ich habe am 20. April und am 2. Mai 2026 zur Nachbesserung aufgefordert. Die Firma hat nicht reagiert oder die Mängel bestritten. Mein Nachbar war beim Aufbau dabei und kann das Wackeln bezeugen. Ein befreundeter Tischlermeister hat sich den Tisch privat angesehen und schriftlich festgehalten, dass die Tischbeine ungleich lang sind und die Plattenfeuchte vom Schleifen mit zu nasser Maschine kommt.</w:t>
      </w:r>
    </w:p>
    <w:p>
      <w:pPr>
        <w:jc w:val="left"/>
      </w:pPr>
      <w:r>
        <w:t>Ich finde es unfair, dass ich verklagt werden soll, obwohl die Firma schlecht gearbeitet hat. Die AGB der Firma sagen zwar, dass ein nach Maß gefertigter Tisch nicht zurückgenommen wird, aber bei Mängeln gilt das aus meiner Sicht nicht.</w:t>
      </w:r>
    </w:p>
    <w:p>
      <w:pPr>
        <w:jc w:val="left"/>
      </w:pPr>
      <w:r>
        <w:t>Die zweite Mahnung vom 25. Mai 2026 verlangt jetzt 683,38 EUR. Das ist aus meiner Sicht falsch, weil ich vom Vertrag zurückgetreten bin.</w:t>
      </w:r>
    </w:p>
    <w:p>
      <w:pPr>
        <w:pStyle w:val="Heading2"/>
      </w:pPr>
      <w:r>
        <w:rPr>
          <w:rFonts w:ascii="Times New Roman" w:hAnsi="Times New Roman"/>
        </w:rPr>
        <w:t>Beweise</w:t>
      </w:r>
    </w:p>
    <w:p>
      <w:pPr>
        <w:pStyle w:val="ListBullet"/>
      </w:pPr>
      <w:r>
        <w:t>Angebot, Auftragsbestätigung, Rechnung, Lieferzettel (Kundenkopie mit Vermerk).</w:t>
      </w:r>
    </w:p>
    <w:p>
      <w:pPr>
        <w:pStyle w:val="ListBullet"/>
      </w:pPr>
      <w:r>
        <w:t>Kontoauszug zur Anzahlung.</w:t>
      </w:r>
    </w:p>
    <w:p>
      <w:pPr>
        <w:pStyle w:val="ListBullet"/>
      </w:pPr>
      <w:r>
        <w:t>Messenger- und E-Mail-Verlauf vollständig.</w:t>
      </w:r>
    </w:p>
    <w:p>
      <w:pPr>
        <w:pStyle w:val="ListBullet"/>
      </w:pPr>
      <w:r>
        <w:t>Beide Mahnungen.</w:t>
      </w:r>
    </w:p>
    <w:p>
      <w:pPr>
        <w:pStyle w:val="ListBullet"/>
      </w:pPr>
      <w:r>
        <w:t>Fotos und Videos vom 19./20. April und 19. Mai 2026.</w:t>
      </w:r>
    </w:p>
    <w:p>
      <w:pPr>
        <w:pStyle w:val="ListBullet"/>
      </w:pPr>
      <w:r>
        <w:t>Zeugnis Oswald Leuthold (Nachbar).</w:t>
      </w:r>
    </w:p>
    <w:p>
      <w:pPr>
        <w:pStyle w:val="ListBullet"/>
      </w:pPr>
      <w:r>
        <w:t>Schriftliche Einschätzung Volker Hentschel (Tischlermeister, privat).</w:t>
      </w:r>
    </w:p>
    <w:p>
      <w:pPr>
        <w:pStyle w:val="ListBullet"/>
      </w:pPr>
      <w:r>
        <w:t>Wasserwaagen-Foto Boden.</w:t>
      </w:r>
    </w:p>
    <w:p>
      <w:pPr>
        <w:pStyle w:val="Heading2"/>
      </w:pPr>
      <w:r>
        <w:rPr>
          <w:rFonts w:ascii="Times New Roman" w:hAnsi="Times New Roman"/>
        </w:rPr>
        <w:t>Anlagen</w:t>
      </w:r>
    </w:p>
    <w:p>
      <w:pPr>
        <w:jc w:val="left"/>
      </w:pPr>
      <w:r>
        <w:t>K1 Angebot. K2 E-Mail-Bestätigung. K3 Kontoauszug. K4 Lieferzettel (Kundenkopie). K5 Messenger-Verlauf. K6 E-Mail-Verlauf. K7 Erste Mahnung. K8 Zweite Mahnung. K9 Fotos und Videos (USB-Stick). K10 Notiz Tischlermeister. K11 AGB-Auszug.</w:t>
      </w:r>
    </w:p>
    <w:p>
      <w:pPr>
        <w:pStyle w:val="Heading2"/>
      </w:pPr>
      <w:r>
        <w:rPr>
          <w:rFonts w:ascii="Times New Roman" w:hAnsi="Times New Roman"/>
        </w:rPr>
        <w:t>Fragen an das Plugin</w:t>
      </w:r>
    </w:p>
    <w:p>
      <w:pPr>
        <w:pStyle w:val="ListBullet"/>
      </w:pPr>
      <w:r>
        <w:t>Ist der Antrag bestimmt genug? Was muss zwingend in den Antrag, was kann in die Begründung?</w:t>
      </w:r>
    </w:p>
    <w:p>
      <w:pPr>
        <w:pStyle w:val="ListBullet"/>
      </w:pPr>
      <w:r>
        <w:t>Muss ich die Anträge in eine sinnvolle Reihenfolge bringen (Haupt-/Hilfsantrag)?</w:t>
      </w:r>
    </w:p>
    <w:p>
      <w:pPr>
        <w:pStyle w:val="ListBullet"/>
      </w:pPr>
      <w:r>
        <w:t>Muss die GbR als solche oder die zwei Gesellschafter persönlich beklagt werden?</w:t>
      </w:r>
    </w:p>
    <w:p>
      <w:pPr>
        <w:pStyle w:val="ListBullet"/>
      </w:pPr>
      <w:r>
        <w:t>Muss ich zwischen Rücktritt, Minderung und Schadensersatz wählen, oder kann ich kumulieren?</w:t>
      </w:r>
    </w:p>
    <w:p>
      <w:pPr>
        <w:pStyle w:val="ListBullet"/>
      </w:pPr>
      <w:r>
        <w:t>Kann ich den Baumarkt-Tisch (89 EUR) als Schaden geltend machen oder muss ich beweisen, dass ich keinen Ersatz hätte mieten oder leihen können?</w:t>
      </w:r>
    </w:p>
    <w:p>
      <w:pPr>
        <w:pStyle w:val="ListBullet"/>
      </w:pPr>
      <w:r>
        <w:t>Sind 300 EUR Ärger durchsetzbar oder ist das von vornherein aussichtslos?</w:t>
      </w:r>
    </w:p>
    <w:p>
      <w:pPr>
        <w:pStyle w:val="ListBullet"/>
      </w:pPr>
      <w:r>
        <w:t>Soll ich Zug-um-Zug formulieren (Rückzahlung gegen Rückgabe des Tisches)?</w:t>
      </w:r>
    </w:p>
    <w:p>
      <w:pPr>
        <w:pStyle w:val="ListBullet"/>
      </w:pPr>
      <w:r>
        <w:t>Soll ich auf negative Feststellung klagen (für die offenen 620 EUR)?</w:t>
      </w:r>
    </w:p>
    <w:p>
      <w:pPr>
        <w:pStyle w:val="ListBullet"/>
      </w:pPr>
      <w:r>
        <w:t>Ist bei 620 EUR oder 1.009 EUR ein vereinfachtes Verfahren nach § 495a ZPO möglich oder sinnvoll? Was wäre der Vorteil?</w:t>
      </w:r>
    </w:p>
    <w:p>
      <w:pPr>
        <w:pStyle w:val="ListBullet"/>
      </w:pPr>
      <w:r>
        <w:t>Ist die Berufung später noch möglich, wenn der Streitwert die 600 EUR überschreitet?</w:t>
      </w:r>
    </w:p>
    <w:p>
      <w:pPr>
        <w:pStyle w:val="ListBullet"/>
      </w:pPr>
      <w:r>
        <w:t>Brauche ich Prozesskostenhilfe? Welche Belege muss ich beifügen?</w:t>
      </w:r>
    </w:p>
    <w:p>
      <w:pPr>
        <w:pStyle w:val="ListBullet"/>
      </w:pPr>
      <w:r>
        <w:t>Wann beginnt die Klagefrist, gibt es eine? Bei einer Mahnung der Gegenseite — kann sie zuerst Mahnbescheid beantragen?</w:t>
      </w:r>
    </w:p>
    <w:p>
      <w:pPr>
        <w:pStyle w:val="ListBullet"/>
      </w:pPr>
      <w:r>
        <w:t>Was passiert, wenn die Tischlerei während des Verfahrens den Tisch tatsächlich abholt?</w:t>
      </w:r>
    </w:p>
    <w:p>
      <w:pPr>
        <w:pStyle w:val="ListBullet"/>
      </w:pPr>
      <w:r>
        <w:t>Muss ich die Klage zwingend in Papier einreichen oder geht das per beA-Empfangsbevollmächtigung? (Anmerkung: ich habe kein beA.)</w:t>
      </w:r>
    </w:p>
    <w:p>
      <w:pPr>
        <w:pStyle w:val="ListBullet"/>
      </w:pPr>
      <w:r>
        <w:t>Wie zitiere ich die handschriftliche Zusatznotiz auf dem Angebot — als eigene Anlage oder im Text?</w:t>
      </w:r>
    </w:p>
    <w:p>
      <w:pPr>
        <w:pStyle w:val="Heading2"/>
      </w:pPr>
      <w:r>
        <w:rPr>
          <w:rFonts w:ascii="Times New Roman" w:hAnsi="Times New Roman"/>
        </w:rPr>
        <w:t>Internes Bauchgefühl Frau Hohenstaufen</w:t>
      </w:r>
    </w:p>
    <w:p>
      <w:pPr>
        <w:pStyle w:val="ListBullet"/>
      </w:pPr>
      <w:r>
        <w:t>Ich habe Sorge, dass das Gericht meinen Antrag als "nicht bestimmt genug" zurückweist.</w:t>
      </w:r>
    </w:p>
    <w:p>
      <w:pPr>
        <w:pStyle w:val="ListBullet"/>
      </w:pPr>
      <w:r>
        <w:t>Ich habe Sorge, dass ich vor lauter Hilfsanträgen den Faden verliere.</w:t>
      </w:r>
    </w:p>
    <w:p>
      <w:pPr>
        <w:pStyle w:val="ListBullet"/>
      </w:pPr>
      <w:r>
        <w:t>Ich habe Sorge, dass die Tischlerei sagt, ich hätte die AGB akzeptiert.</w:t>
      </w:r>
    </w:p>
    <w:p>
      <w:pPr>
        <w:pStyle w:val="ListBullet"/>
      </w:pPr>
      <w:r>
        <w:t>Ich hoffe, das Gericht erkennt, dass die Tischlerei sich quer stellt.</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Amtsgericht Hannover</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Amtsgericht Hannover</w:t>
    </w:r>
  </w:p>
  <w:p>
    <w:pPr>
      <w:jc w:val="left"/>
      <w:pBdr>
        <w:bottom w:val="single" w:sz="6" w:space="2" w:color="3B3F45"/>
      </w:pBdr>
    </w:pPr>
    <w:r>
      <w:rPr>
        <w:rFonts w:ascii="Times New Roman" w:hAnsi="Times New Roman"/>
        <w:color w:val="6B6B66"/>
        <w:sz w:val="16"/>
      </w:rPr>
      <w:t>Gericht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