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03 — Vendor Due Diligence: Red-Flag-Report Zusammenfassung</w:t>
      </w:r>
    </w:p>
    <w:p>
      <w:pPr>
        <w:jc w:val="left"/>
      </w:pPr>
      <w:r>
        <w:rPr>
          <w:b/>
        </w:rPr>
        <w:t>Aktenzeichen:</w:t>
      </w:r>
      <w:r>
        <w:t xml:space="preserve"> SuP/2026-0041-CES</w:t>
      </w:r>
    </w:p>
    <w:p>
      <w:pPr>
        <w:jc w:val="left"/>
      </w:pPr>
      <w:r>
        <w:rPr>
          <w:b/>
        </w:rPr>
        <w:t>VDD-Berater:</w:t>
      </w:r>
      <w:r>
        <w:t xml:space="preserve"> KPMG Advisory GmbH, München (Financial &amp; Tax); Schwingenstein und Partner (Legal)</w:t>
      </w:r>
    </w:p>
    <w:p>
      <w:pPr>
        <w:jc w:val="left"/>
      </w:pPr>
      <w:r>
        <w:rPr>
          <w:b/>
        </w:rPr>
        <w:t>Datum Abschlussbericht:</w:t>
      </w:r>
      <w:r>
        <w:t xml:space="preserve"> 03. März 2026</w:t>
      </w:r>
    </w:p>
    <w:p>
      <w:pPr>
        <w:jc w:val="left"/>
      </w:pPr>
      <w:r>
        <w:rPr>
          <w:b/>
        </w:rPr>
        <w:t>Vertraulich — nur für Bieter nach unterzeichnetem NDA</w:t>
      </w:r>
    </w:p>
    <w:p/>
    <w:p>
      <w:pPr>
        <w:pStyle w:val="Heading2"/>
      </w:pPr>
      <w:r>
        <w:rPr>
          <w:rFonts w:ascii="Times New Roman" w:hAnsi="Times New Roman"/>
        </w:rPr>
        <w:t>1. Scope</w:t>
      </w:r>
    </w:p>
    <w:p>
      <w:pPr>
        <w:jc w:val="left"/>
      </w:pPr>
      <w:r>
        <w:t>Die VDD umfasst folgende Prüfungsgebiete: Financial (inkl. Qualität Earnings, Working Capital, Nettoverschuldung), Tax, Legal (M&amp;A-rechtlich, Arbeitsrecht, IP/IT, Umwelt), Commercial (Marktstellung, Kundenkonzentration, Wettbewerb) sowie eine Environmental-Prüfung des Werksgeländes Passau I (Altlastenverdacht).</w:t>
      </w:r>
    </w:p>
    <w:p>
      <w:pPr>
        <w:jc w:val="left"/>
      </w:pPr>
      <w:r>
        <w:t>Stichtag Prüfungszeitraum: Geschäftsjahre 2022, 2023, 2024 (geprüfte HGB-Abschlüsse); unterjährig 2025 Q1-Q3.</w:t>
      </w:r>
    </w:p>
    <w:p/>
    <w:p>
      <w:pPr>
        <w:pStyle w:val="Heading2"/>
      </w:pPr>
      <w:r>
        <w:rPr>
          <w:rFonts w:ascii="Times New Roman" w:hAnsi="Times New Roman"/>
        </w:rPr>
        <w:t>2. Executive Summary — Wesentliche Findings</w:t>
      </w:r>
    </w:p>
    <w:p>
      <w:pPr>
        <w:pStyle w:val="Heading3"/>
      </w:pPr>
      <w:r>
        <w:rPr>
          <w:rFonts w:ascii="Times New Roman" w:hAnsi="Times New Roman"/>
        </w:rPr>
        <w:t>Grüne Findings (keine oder geringe Relevanz)</w:t>
      </w:r>
    </w:p>
    <w:p>
      <w:pPr>
        <w:pStyle w:val="ListBullet"/>
      </w:pPr>
      <w:r>
        <w:t>Kundenbasis: Top-10-Kunden = 41 % Umsatz; Konzentrationsrisiko moderat; kein Kunde &gt;8 %</w:t>
      </w:r>
    </w:p>
    <w:p>
      <w:pPr>
        <w:pStyle w:val="ListBullet"/>
      </w:pPr>
      <w:r>
        <w:t>Produktqualität: 0 Produkthaftungsfälle in den letzten fünf Jahren; zertifiziert nach IATF 16949 (Automotive)</w:t>
      </w:r>
    </w:p>
    <w:p>
      <w:pPr>
        <w:pStyle w:val="ListBullet"/>
      </w:pPr>
      <w:r>
        <w:t>Marktstellung: Führend Industriewerkzeug Niederbayern/Oberpfalz; ca. 28 % regionale Marktdominanz</w:t>
      </w:r>
    </w:p>
    <w:p>
      <w:pPr>
        <w:pStyle w:val="Heading3"/>
      </w:pPr>
      <w:r>
        <w:rPr>
          <w:rFonts w:ascii="Times New Roman" w:hAnsi="Times New Roman"/>
        </w:rPr>
        <w:t>Gelbe Findings (Mittleres Risiko — SPA-Klauseln empfohlen)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Empfehlung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Financial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EBITDA-Bereinigung um außerordentliche Kosten Pellbach 4.0 (2,1 Mio. EUR 2022-2023) umstritten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Locked Box Anpassung; Käufer-Bestätigung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Commercial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China-Umsatz 12,4 Mio. EUR (15,5 %); Abhängigkeit von zwei Abnehmern Suzhou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Vertragliche Absicherung; MAC-Definition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Befristete Arbeitsverhältnisse 18 MA (Werk Passau II); Kettenbefristungs-Risiko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Spez. Garantie + Indemnity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Umwelt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Bodengutachten Passau I (1963-1989 Lösungsmittellager) ausstehendes Update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Umwelt-Indemnity; Kostenbegrenzung 500 TEUR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Y-05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IP/IT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SAP-Lizenz: Audit-Anforderung SAP 2025 ausstehend; Unterlizenzen Suzhou unklar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Garantie IP-Compliance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Rote Findings (Hohes Risiko — Preisimplikation oder Deal-Breaker-Prüfung)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#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Bereich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Finding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Schwarze Kasse Polen-Tochter: ca. 380 TEUR nicht verbuchte Provisionen 2020-2023 (→ Aktenstück 05)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Selbstanzeige § 371 AO in Prüfung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Pension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DBO Pensionszusage Reinhard 4,1 Mio. EUR; HGB-Rückstellung 2,6 Mio. EUR; Delta 1,5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Kaufpreisanpassung oder Indemnity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Suzhou: Lieferbeziehung zu Kharkov Precision Parts LLC (Russland); Sanktionsrisiko VO (EU) 833/2014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Legal Opinion; MAC-Auslöser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Kartell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Marktanteil Industriewerkzeug &gt;25 %; BKartA-Anmeldepflicht GWB § 35; Auflagen-Risiko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BKartA-Anmeldung eingereicht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EBITDA-Bereinigung (bereinigtes EBITDA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EUR Mio.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EBITDA berichtet 2024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15,20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Sonderkosten Pellbach 4.0 (nicht wiederkehrend)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0,45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Gehaltserhöhung Reinhard (über Markt)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0,30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 Normalisierter Miet-/Pachtansatz (bisher unter Marktniveau)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-0,18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+ Rinner-Herauslösung (Annegret-Bereich; geht ab)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-0,62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Bereinigtes EBITDA 2024 (Basis für Multiple)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15,15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Zeitplan VDD / Weiteres Vorgehen</w:t>
      </w:r>
    </w:p>
    <w:p>
      <w:pPr>
        <w:pStyle w:val="ListBullet"/>
      </w:pPr>
      <w:r>
        <w:t>VDD-Abschlussbericht versandt: 03.03.2026</w:t>
      </w:r>
    </w:p>
    <w:p>
      <w:pPr>
        <w:pStyle w:val="ListBullet"/>
      </w:pPr>
      <w:r>
        <w:t>Q&amp;A-Runde Bieter: 10.-17.03.2026</w:t>
      </w:r>
    </w:p>
    <w:p>
      <w:pPr>
        <w:pStyle w:val="ListBullet"/>
      </w:pPr>
      <w:r>
        <w:t>SPA-First-Draft durch Käuferseite: angekündigt 25.03.2026</w:t>
      </w:r>
    </w:p>
    <w:p>
      <w:pPr>
        <w:pStyle w:val="ListBullet"/>
      </w:pPr>
      <w:r>
        <w:t>Seller-Kommentare: bis 04.04.2026</w:t>
      </w:r>
    </w:p>
    <w:p>
      <w:pPr>
        <w:jc w:val="left"/>
      </w:pPr>
      <w:r>
        <w:rPr>
          <w:b/>
        </w:rPr>
        <w:t>Bearbeiterin:</w:t>
      </w:r>
      <w:r>
        <w:t xml:space="preserve"> RAin Dr. Cornelia Schwingenstein-Eichmüller | SuP/2026-0041-CES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KPMG Advisory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KPMG Advisory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München (Financial &amp; Tax); Schwingenstein und Partner (Legal) · Aktenzeichen: SuP/2026-0041-CES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